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7"/>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百家湖社区卫生服务中心采购医用内窥镜及消毒清洗设备一批</w:t>
      </w:r>
      <w:r/>
    </w:p>
    <w:p>
      <w:pPr>
        <w:pStyle w:val="690"/>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20"/>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7"/>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7"/>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JSZC-320115-DJGS-G2026-0008</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7"/>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南京市江宁区秣陵街道百家湖社区卫生服务中心</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第五章  合同主要条款</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7"/>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7"/>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7"/>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5"/>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百家湖社区卫生服务中心采购医用内窥镜及消毒清洗设备一批</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JSZC-320115-DJGS-G2026-0008</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JSZC-320115-DJGS-G2026-0008</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百家湖社区卫生服务中心采购医用内窥镜及消毒清洗设备一批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120.2</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110万元，其中</w:t>
      </w:r>
      <w:r>
        <w:rPr>
          <w:rFonts w:hint="eastAsia" w:ascii="宋体" w:hAnsi="宋体" w:eastAsia="宋体" w:cs="宋体"/>
          <w:color w:val="000000" w:themeColor="text1"/>
          <w:highlight w:val="none"/>
          <w14:textFill>
            <w14:solidFill>
              <w14:schemeClr w14:val="tx1"/>
            </w14:solidFill>
          </w14:textFill>
        </w:rPr>
        <w:t xml:space="preserve">采购包1最高限价：</w:t>
      </w:r>
      <w:r>
        <w:rPr>
          <w:rFonts w:hint="eastAsia" w:ascii="宋体" w:hAnsi="宋体" w:cs="宋体"/>
          <w:color w:val="000000" w:themeColor="text1"/>
          <w:highlight w:val="none"/>
          <w:lang w:val="en-US" w:eastAsia="zh-CN"/>
          <w14:textFill>
            <w14:solidFill>
              <w14:schemeClr w14:val="tx1"/>
            </w14:solidFill>
          </w14:textFill>
        </w:rPr>
        <w:t xml:space="preserve">90</w:t>
      </w:r>
      <w:r>
        <w:rPr>
          <w:rFonts w:hint="eastAsia" w:ascii="宋体" w:hAnsi="宋体" w:eastAsia="宋体" w:cs="宋体"/>
          <w:color w:val="000000" w:themeColor="text1"/>
          <w:highlight w:val="none"/>
          <w14:textFill>
            <w14:solidFill>
              <w14:schemeClr w14:val="tx1"/>
            </w14:solidFill>
          </w14:textFill>
        </w:rPr>
        <w:t xml:space="preserve">万元；采购包2最高限价：</w:t>
      </w:r>
      <w:r>
        <w:rPr>
          <w:rFonts w:hint="eastAsia" w:ascii="宋体" w:hAnsi="宋体" w:cs="宋体"/>
          <w:color w:val="000000" w:themeColor="text1"/>
          <w:highlight w:val="none"/>
          <w:lang w:val="en-US" w:eastAsia="zh-CN"/>
          <w14:textFill>
            <w14:solidFill>
              <w14:schemeClr w14:val="tx1"/>
            </w14:solidFill>
          </w14:textFill>
        </w:rPr>
        <w:t xml:space="preserve">20</w:t>
      </w:r>
      <w:r>
        <w:rPr>
          <w:rFonts w:hint="eastAsia" w:ascii="宋体" w:hAnsi="宋体" w:eastAsia="宋体" w:cs="宋体"/>
          <w:color w:val="000000" w:themeColor="text1"/>
          <w:highlight w:val="none"/>
          <w14:textFill>
            <w14:solidFill>
              <w14:schemeClr w14:val="tx1"/>
            </w14:solidFill>
          </w14:textFill>
        </w:rPr>
        <w:t xml:space="preserve">万元 </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5"/>
        <w:tblW w:w="4948" w:type="pct"/>
        <w:jc w:val="center"/>
        <w:tblLayout w:type="autofit"/>
        <w:tblCellMar>
          <w:left w:w="0" w:type="dxa"/>
          <w:top w:w="0" w:type="dxa"/>
          <w:right w:w="0" w:type="dxa"/>
          <w:bottom w:w="0" w:type="dxa"/>
        </w:tblCellMar>
        <w:tblLook w:val="04A0" w:firstRow="1" w:lastRow="0" w:firstColumn="1" w:lastColumn="0" w:noHBand="0" w:noVBand="1"/>
      </w:tblPr>
      <w:tblGrid>
        <w:gridCol w:w="717"/>
        <w:gridCol w:w="2948"/>
        <w:gridCol w:w="983"/>
        <w:gridCol w:w="1063"/>
        <w:gridCol w:w="2429"/>
        <w:gridCol w:w="1398"/>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cs="宋体"/>
                <w:color w:val="000000" w:themeColor="text1"/>
                <w:highlight w:val="none"/>
                <w:lang w:val="en-US" w:eastAsia="zh-CN"/>
                <w14:textFill>
                  <w14:solidFill>
                    <w14:schemeClr w14:val="tx1"/>
                  </w14:solidFill>
                </w14:textFill>
              </w:rPr>
              <w:t xml:space="preserve">包</w:t>
            </w:r>
            <w:r>
              <w:rPr>
                <w:rFonts w:hint="eastAsia" w:ascii="宋体" w:hAnsi="宋体" w:eastAsia="宋体" w:cs="宋体"/>
                <w:color w:val="000000" w:themeColor="text1"/>
                <w:highlight w:val="none"/>
                <w14:textFill>
                  <w14:solidFill>
                    <w14:schemeClr w14:val="tx1"/>
                  </w14:solidFill>
                </w14:textFill>
              </w:rPr>
              <w:t xml:space="preserve">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none" w:color="000000" w:sz="4"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医用内窥镜</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90</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24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消毒清洗设备</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20</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17"/>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南京市江宁区秣陵街道百家湖社区卫生服务中心</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南京市江宁区秣陵街道前庄路266号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5"/>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南京市江宁区秣陵街道百家湖社区卫生服务中心</w:t>
            </w:r>
            <w:r/>
          </w:p>
          <w:p>
            <w:pP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南京市江宁区秣陵街道前庄路266号</w:t>
            </w:r>
            <w:r/>
          </w:p>
          <w:p>
            <w:pP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王主任</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19726"/>
      <w:r/>
      <w:bookmarkStart w:id="6" w:name="_Toc8539"/>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0044"/>
      <w:r/>
      <w:bookmarkStart w:id="8" w:name="_Toc3951"/>
      <w:r/>
      <w:bookmarkStart w:id="9" w:name="_Toc20823276"/>
      <w:r/>
      <w:bookmarkStart w:id="10" w:name="_Toc513029204"/>
      <w:r/>
      <w:bookmarkStart w:id="11" w:name="_Toc24947"/>
      <w:r/>
      <w:bookmarkStart w:id="12" w:name="_Toc458694821"/>
      <w:r/>
      <w:bookmarkStart w:id="13" w:name="_Toc16938520"/>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 </w:t>
      </w:r>
      <w:r>
        <w:rPr>
          <w:rFonts w:hint="eastAsia" w:ascii="宋体" w:hAnsi="宋体" w:eastAsia="宋体" w:cs="宋体"/>
          <w:color w:val="000000" w:themeColor="text1"/>
          <w:szCs w:val="21"/>
          <w:highlight w:val="none"/>
          <w14:textFill>
            <w14:solidFill>
              <w14:schemeClr w14:val="tx1"/>
            </w14:solidFill>
          </w14:textFill>
        </w:rPr>
        <w:t xml:space="preserve">《中华人民共和国招标投标法》、</w:t>
      </w:r>
      <w:r>
        <w:rPr>
          <w:rFonts w:hint="eastAsia" w:ascii="宋体" w:hAnsi="宋体" w:eastAsia="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南京市江宁区秣陵街道百家湖社区卫生服务中心</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25880"/>
      <w:r/>
      <w:bookmarkStart w:id="17" w:name="_Toc18001"/>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000000" w:themeColor="text1"/>
          <w:highlight w:val="none"/>
          <w14:textFill>
            <w14:solidFill>
              <w14:schemeClr w14:val="tx1"/>
            </w14:solidFill>
          </w14:textFill>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462564067"/>
      <w:r/>
      <w:bookmarkStart w:id="19" w:name="_Toc17711"/>
      <w:r/>
      <w:bookmarkStart w:id="20" w:name="_Toc4759"/>
      <w:r/>
      <w:bookmarkStart w:id="21" w:name="_Toc20823279"/>
      <w:r/>
      <w:bookmarkStart w:id="22" w:name="_Toc513029207"/>
      <w:r/>
      <w:bookmarkStart w:id="23" w:name="_Toc16938523"/>
      <w:r/>
      <w:bookmarkStart w:id="24" w:name="_Toc25651"/>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344"/>
      <w:r/>
      <w:bookmarkStart w:id="26" w:name="_Toc2547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20614215"/>
      <w:r/>
      <w:bookmarkStart w:id="28" w:name="_Toc16938525"/>
      <w:r/>
      <w:bookmarkStart w:id="29" w:name="_Toc11232"/>
      <w:r/>
      <w:bookmarkStart w:id="30" w:name="_Toc20823281"/>
      <w:r/>
      <w:bookmarkStart w:id="31" w:name="_Toc513029209"/>
      <w:r/>
      <w:bookmarkStart w:id="32" w:name="_Toc15035"/>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2899"/>
      <w:r/>
      <w:bookmarkStart w:id="34" w:name="_Toc513029210"/>
      <w:r/>
      <w:bookmarkStart w:id="35" w:name="_Toc31631"/>
      <w:r/>
      <w:bookmarkStart w:id="36" w:name="_Toc16938526"/>
      <w:r/>
      <w:bookmarkStart w:id="37" w:name="_Toc20823282"/>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评标标准</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合同主要条款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9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8" w:name="_Toc14415"/>
      <w:r/>
      <w:bookmarkStart w:id="39" w:name="_Toc24838"/>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9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2" w:name="_Toc28127"/>
      <w:r/>
      <w:bookmarkStart w:id="43"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11547"/>
      <w:r/>
      <w:bookmarkStart w:id="46"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91"/>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7" w:name="_Toc22790"/>
      <w:r/>
      <w:bookmarkStart w:id="48"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15215"/>
      <w:r/>
      <w:bookmarkStart w:id="50" w:name="_Toc31206"/>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2"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462564084"/>
      <w:r/>
      <w:bookmarkStart w:id="56" w:name="_Toc513029225"/>
      <w:r/>
      <w:bookmarkStart w:id="57" w:name="_Toc20823297"/>
      <w:r/>
      <w:bookmarkStart w:id="58" w:name="_Toc16938541"/>
      <w:r/>
      <w:bookmarkStart w:id="59" w:name="_Toc415"/>
      <w:r/>
      <w:bookmarkStart w:id="60" w:name="_Toc15509"/>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16938542"/>
      <w:r/>
      <w:bookmarkEnd w:id="61"/>
      <w:r/>
      <w:bookmarkStart w:id="62" w:name="_Toc20823298"/>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513029227"/>
      <w:r/>
      <w:bookmarkStart w:id="64" w:name="_Toc20823299"/>
      <w:r/>
      <w:bookmarkStart w:id="65" w:name="_Toc16938543"/>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513029228"/>
      <w:r/>
      <w:bookmarkStart w:id="68"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3"/>
      <w:r/>
      <w:bookmarkStart w:id="70" w:name="_Toc13829"/>
      <w:r/>
      <w:bookmarkStart w:id="71" w:name="OLE_LINK7"/>
      <w:r/>
      <w:bookmarkStart w:id="72" w:name="_Toc3679"/>
      <w:r/>
      <w:bookmarkStart w:id="73" w:name="_Toc15345"/>
      <w:r/>
      <w:bookmarkStart w:id="74" w:name="_Toc20683"/>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16938547"/>
      <w:r/>
      <w:bookmarkStart w:id="78" w:name="_Toc29284"/>
      <w:r/>
      <w:bookmarkStart w:id="79" w:name="_Toc20823303"/>
      <w:r/>
      <w:bookmarkStart w:id="80" w:name="_Toc513029231"/>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2294"/>
      <w:r/>
      <w:bookmarkStart w:id="85" w:name="_Toc18327"/>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3"/>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91"/>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7"/>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5"/>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5"/>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7584"/>
        <w:gridCol w:w="138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758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138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3"/>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7584" w:type="dxa"/>
            <w:vAlign w:val="top"/>
            <w:textDirection w:val="lrTb"/>
            <w:noWrap w:val="false"/>
          </w:tcPr>
          <w:p>
            <w:pPr>
              <w:numPr>
                <w:ilvl w:val="0"/>
                <w:numId w:val="4"/>
              </w:num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numPr>
                <w:ilvl w:val="0"/>
                <w:numId w:val="4"/>
              </w:num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包2：</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6.4</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0.8</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0.4</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1385" w:type="dxa"/>
            <w:vAlign w:val="center"/>
            <w:textDirection w:val="lrTb"/>
            <w:noWrap w:val="false"/>
          </w:tcPr>
          <w:p>
            <w:pPr>
              <w:jc w:val="center"/>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包1:35分；</w:t>
            </w:r>
            <w:r/>
          </w:p>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包2:36.4分</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7"/>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265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w:t>
            </w:r>
            <w:bookmarkStart w:id="96" w:name="_GoBack"/>
            <w:r/>
            <w:bookmarkEnd w:id="96"/>
            <w:r>
              <w:rPr>
                <w:rFonts w:hint="eastAsia" w:ascii="宋体" w:hAnsi="宋体" w:eastAsia="宋体" w:cs="宋体"/>
                <w:color w:val="000000" w:themeColor="text1"/>
                <w:highlight w:val="none"/>
                <w:lang w:eastAsia="zh-CN"/>
                <w14:textFill>
                  <w14:solidFill>
                    <w14:schemeClr w14:val="tx1"/>
                  </w14:solidFill>
                </w14:textFill>
              </w:rPr>
              <w:t xml:space="preserve">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包1：投标人</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w:t>
            </w:r>
            <w:r>
              <w:rPr>
                <w:rFonts w:hint="eastAsia" w:ascii="宋体" w:hAnsi="宋体" w:eastAsia="宋体" w:cs="宋体"/>
                <w:color w:val="000000" w:themeColor="text1"/>
                <w:highlight w:val="none"/>
                <w:lang w:val="en-US" w:eastAsia="zh-CN"/>
                <w14:textFill>
                  <w14:solidFill>
                    <w14:schemeClr w14:val="tx1"/>
                  </w14:solidFill>
                </w14:textFill>
              </w:rPr>
              <w:t xml:space="preserve">需至少包含本次采购核心产品</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包2：投标人</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w:t>
            </w:r>
            <w:r>
              <w:rPr>
                <w:rFonts w:hint="eastAsia" w:ascii="宋体" w:hAnsi="宋体" w:eastAsia="宋体" w:cs="宋体"/>
                <w:color w:val="000000" w:themeColor="text1"/>
                <w:highlight w:val="none"/>
                <w:lang w:val="en-US" w:eastAsia="zh-CN"/>
                <w14:textFill>
                  <w14:solidFill>
                    <w14:schemeClr w14:val="tx1"/>
                  </w14:solidFill>
                </w14:textFill>
              </w:rPr>
              <w:t xml:space="preserve">需至少包含本次采购</w:t>
            </w:r>
            <w:r>
              <w:rPr>
                <w:rFonts w:hint="eastAsia" w:ascii="宋体" w:hAnsi="宋体" w:cs="宋体"/>
                <w:color w:val="000000" w:themeColor="text1"/>
                <w:highlight w:val="none"/>
                <w:lang w:val="en-US" w:eastAsia="zh-CN"/>
                <w14:textFill>
                  <w14:solidFill>
                    <w14:schemeClr w14:val="tx1"/>
                  </w14:solidFill>
                </w14:textFill>
              </w:rPr>
              <w:t xml:space="preserve">任意4个产品</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0.8</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1385" w:type="dxa"/>
            <w:vAlign w:val="center"/>
            <w:textDirection w:val="lrTb"/>
            <w:noWrap w:val="false"/>
          </w:tcPr>
          <w:p>
            <w:pPr>
              <w:jc w:val="center"/>
              <w:widowControl w:val="off"/>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包1：3分</w:t>
            </w:r>
            <w:r/>
          </w:p>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包2：1.6分</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质保期</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在满足采购文件中免费质保期要求的基础上，每增加一年原厂质保得1分，最高得2分。（投标人在投标文件中体现对质保期限的响应且需要提供生产厂家的质保材料，以生产厂家的质保材料载明的时间为准。）</w:t>
            </w:r>
            <w:r/>
          </w:p>
        </w:tc>
        <w:tc>
          <w:tcPr>
            <w:tcW w:w="1385" w:type="dxa"/>
            <w:vAlign w:val="center"/>
            <w:textDirection w:val="lrTb"/>
            <w:noWrap w:val="false"/>
          </w:tcPr>
          <w:p>
            <w:pPr>
              <w:jc w:val="center"/>
              <w:widowControl w:val="off"/>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2分</w:t>
            </w:r>
            <w:r/>
          </w:p>
        </w:tc>
      </w:tr>
      <w:tr>
        <w:trPr/>
        <w:tc>
          <w:tcPr>
            <w:tcW w:w="789"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758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3314"/>
      <w:r/>
      <w:bookmarkStart w:id="93" w:name="_Toc24432"/>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百家湖社区卫生服务中心采购医用内窥镜及消毒清洗设备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5"/>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(投标人在投标文件中体现对质保期限的响应且需要提供生产厂家的质保材料)。</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包2</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 (投标人在投标文件中体现对质保期限的响应且需要提供生产厂家的质保材料)。</w:t>
      </w:r>
      <w:r/>
    </w:p>
    <w:p>
      <w:pPr>
        <w:pStyle w:val="690"/>
        <w:ind w:firstLine="482"/>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cs="宋体"/>
          <w:color w:val="000000" w:themeColor="text1"/>
          <w:szCs w:val="21"/>
          <w:lang w:eastAsia="zh-CN"/>
          <w14:textFill>
            <w14:solidFill>
              <w14:schemeClr w14:val="tx1"/>
            </w14:solidFill>
          </w14:textFill>
        </w:rPr>
        <w:t xml:space="preserve">设备发生故障或异常时</w:t>
      </w:r>
      <w:r>
        <w:rPr>
          <w:rFonts w:hint="eastAsia"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小时内做出响应，24小时内完成修复</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投标人在售后服务承诺书中体现对售后响应时间的承诺</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w:t>
      </w:r>
      <w:r/>
    </w:p>
    <w:p>
      <w:pPr>
        <w:pStyle w:val="690"/>
        <w:ind w:firstLine="482"/>
        <w:spacing w:line="360" w:lineRule="auto"/>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cs="宋体"/>
          <w:b/>
          <w:bCs/>
          <w:color w:val="000000" w:themeColor="text1"/>
          <w:sz w:val="21"/>
          <w:szCs w:val="21"/>
          <w:lang w:eastAsia="zh-CN"/>
          <w14:textFill>
            <w14:solidFill>
              <w14:schemeClr w14:val="tx1"/>
            </w14:solidFill>
          </w14:textFill>
        </w:rPr>
        <w:t xml:space="preserve">（1）本合同项下所有款项均以人民币支付。</w:t>
      </w:r>
      <w:r/>
    </w:p>
    <w:p>
      <w:pPr>
        <w:ind w:firstLine="482"/>
        <w:keepLines w:val="0"/>
        <w:keepNext w:val="0"/>
        <w:pageBreakBefore w:val="0"/>
        <w:spacing w:line="360" w:lineRule="auto"/>
        <w:tabs>
          <w:tab w:val="left" w:pos="0" w:leader="none"/>
          <w:tab w:val="left" w:pos="567" w:leader="none"/>
        </w:tabs>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（2）产品运抵采购人指定的位置，经验收合格，支付合同总价的</w:t>
      </w:r>
      <w:r>
        <w:rPr>
          <w:rFonts w:hint="eastAsia" w:ascii="宋体" w:hAnsi="宋体" w:cs="宋体"/>
          <w:b/>
          <w:bCs/>
          <w:color w:val="000000" w:themeColor="text1"/>
          <w:sz w:val="21"/>
          <w:szCs w:val="21"/>
          <w:lang w:val="en-US" w:eastAsia="zh-CN"/>
          <w14:textFill>
            <w14:solidFill>
              <w14:schemeClr w14:val="tx1"/>
            </w14:solidFill>
          </w14:textFill>
        </w:rPr>
        <w:t xml:space="preserve">50</w:t>
      </w:r>
      <w:r>
        <w:rPr>
          <w:rFonts w:hint="eastAsia" w:ascii="宋体" w:hAnsi="宋体" w:cs="宋体"/>
          <w:b/>
          <w:bCs/>
          <w:color w:val="000000" w:themeColor="text1"/>
          <w:sz w:val="21"/>
          <w:szCs w:val="21"/>
          <w:lang w:eastAsia="zh-CN"/>
          <w14:textFill>
            <w14:solidFill>
              <w14:schemeClr w14:val="tx1"/>
            </w14:solidFill>
          </w14:textFill>
        </w:rPr>
        <w:t xml:space="preserve">%货款；自验收合格满一年，付清合同总价</w:t>
      </w:r>
      <w:r>
        <w:rPr>
          <w:rFonts w:hint="eastAsia" w:ascii="宋体" w:hAnsi="宋体"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eastAsia="zh-CN"/>
          <w14:textFill>
            <w14:solidFill>
              <w14:schemeClr w14:val="tx1"/>
            </w14:solidFill>
          </w14:textFill>
        </w:rPr>
        <w:t xml:space="preserve">0%的余款。</w:t>
      </w:r>
      <w:r/>
    </w:p>
    <w:p>
      <w:pPr>
        <w:pStyle w:val="878"/>
        <w:keepLines w:val="0"/>
        <w:keepNext w:val="0"/>
        <w:pageBreakBefore w:val="0"/>
        <w:spacing w:line="360" w:lineRule="auto"/>
        <w:rPr>
          <w:rFonts w:hint="default" w:ascii="宋体" w:hAnsi="宋体" w:eastAsia="宋体" w:cs="宋体"/>
          <w:b/>
          <w:bCs/>
          <w:color w:val="000000" w:themeColor="text1"/>
          <w:sz w:val="21"/>
          <w:szCs w:val="21"/>
          <w:lang w:val="en-US" w:eastAsia="zh-CN" w:bidi="ar-SA"/>
          <w14:textFill>
            <w14:solidFill>
              <w14:schemeClr w14:val="tx1"/>
            </w14:solidFill>
          </w14:textFill>
        </w:rPr>
      </w:pPr>
      <w:r>
        <w:rPr>
          <w:rFonts w:hint="eastAsia"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所投产品需取得该产品的允许销售证明。(投标时提供承诺函，中标后提供允许销售证明原件)</w:t>
      </w:r>
      <w:r>
        <w:rPr>
          <w:rFonts w:hint="eastAsia" w:eastAsia="宋体" w:cs="宋体"/>
          <w:b/>
          <w:bCs/>
          <w:color w:val="000000" w:themeColor="text1"/>
          <w:sz w:val="21"/>
          <w:szCs w:val="21"/>
          <w:lang w:val="en-US" w:eastAsia="zh-CN" w:bidi="ar-SA"/>
          <w14:textFill>
            <w14:solidFill>
              <w14:schemeClr w14:val="tx1"/>
            </w14:solidFill>
          </w14:textFill>
        </w:rPr>
        <w:t xml:space="preserve">。</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eastAsia="宋体" w:cs="宋体"/>
          <w:b/>
          <w:bCs/>
          <w:color w:val="000000" w:themeColor="text1"/>
          <w:sz w:val="21"/>
          <w:szCs w:val="21"/>
          <w:lang w:val="en-US" w:eastAsia="zh-CN" w:bidi="en-US"/>
          <w14:textFill>
            <w14:solidFill>
              <w14:schemeClr w14:val="tx1"/>
            </w14:solidFill>
          </w14:textFill>
        </w:rPr>
        <w:t xml:space="preserve">6、供应商</w:t>
      </w:r>
      <w:r>
        <w:rPr>
          <w:rFonts w:hint="default" w:eastAsia="宋体" w:cs="宋体"/>
          <w:b/>
          <w:bCs/>
          <w:color w:val="000000" w:themeColor="text1"/>
          <w:sz w:val="21"/>
          <w:szCs w:val="21"/>
          <w:lang w:val="en-US" w:eastAsia="zh-CN" w:bidi="en-US"/>
          <w14:textFill>
            <w14:solidFill>
              <w14:schemeClr w14:val="tx1"/>
            </w14:solidFill>
          </w14:textFill>
        </w:rPr>
        <w:t xml:space="preserve">投标产品如果属于医疗器械注册范畴的，根据注册的类别，投标人</w:t>
      </w:r>
      <w:r>
        <w:rPr>
          <w:rFonts w:hint="eastAsia" w:eastAsia="宋体" w:cs="宋体"/>
          <w:b/>
          <w:bCs/>
          <w:color w:val="000000" w:themeColor="text1"/>
          <w:sz w:val="21"/>
          <w:szCs w:val="21"/>
          <w:lang w:val="en-US" w:eastAsia="zh-CN" w:bidi="en-US"/>
          <w14:textFill>
            <w14:solidFill>
              <w14:schemeClr w14:val="tx1"/>
            </w14:solidFill>
          </w14:textFill>
        </w:rPr>
        <w:t xml:space="preserve">必须</w:t>
      </w:r>
      <w:r>
        <w:rPr>
          <w:rFonts w:hint="default" w:eastAsia="宋体" w:cs="宋体"/>
          <w:b/>
          <w:bCs/>
          <w:color w:val="000000" w:themeColor="text1"/>
          <w:sz w:val="21"/>
          <w:szCs w:val="21"/>
          <w:lang w:val="en-US" w:eastAsia="zh-CN" w:bidi="en-US"/>
          <w14:textFill>
            <w14:solidFill>
              <w14:schemeClr w14:val="tx1"/>
            </w14:solidFill>
          </w14:textFill>
        </w:rPr>
        <w:t xml:space="preserve">具有《医疗器械经营许可证》或者《医疗器械经营备案凭证》；投标产品具有《医疗器械注册证》或者《医疗器械备案凭证》（复印件加盖公章）；</w:t>
      </w:r>
      <w:r>
        <w:rPr>
          <w:rFonts w:hint="eastAsia" w:eastAsia="宋体" w:cs="宋体"/>
          <w:b/>
          <w:bCs/>
          <w:color w:val="000000" w:themeColor="text1"/>
          <w:sz w:val="21"/>
          <w:szCs w:val="21"/>
          <w:lang w:val="en-US" w:eastAsia="zh-CN" w:bidi="en-US"/>
          <w14:textFill>
            <w14:solidFill>
              <w14:schemeClr w14:val="tx1"/>
            </w14:solidFill>
          </w14:textFill>
        </w:rPr>
        <w:t xml:space="preserve">且投标产品的信息必须与</w:t>
      </w:r>
      <w:r>
        <w:rPr>
          <w:rFonts w:hint="default" w:eastAsia="宋体" w:cs="宋体"/>
          <w:b/>
          <w:bCs/>
          <w:color w:val="000000" w:themeColor="text1"/>
          <w:sz w:val="21"/>
          <w:szCs w:val="21"/>
          <w:lang w:val="en-US" w:eastAsia="zh-CN" w:bidi="en-US"/>
          <w14:textFill>
            <w14:solidFill>
              <w14:schemeClr w14:val="tx1"/>
            </w14:solidFill>
          </w14:textFill>
        </w:rPr>
        <w:t xml:space="preserve">《医疗器械注册证》或者《医疗器械备案凭证》</w:t>
      </w:r>
      <w:r>
        <w:rPr>
          <w:rFonts w:hint="eastAsia" w:eastAsia="宋体" w:cs="宋体"/>
          <w:b/>
          <w:bCs/>
          <w:color w:val="000000" w:themeColor="text1"/>
          <w:sz w:val="21"/>
          <w:szCs w:val="21"/>
          <w:lang w:val="en-US" w:eastAsia="zh-CN" w:bidi="en-US"/>
          <w14:textFill>
            <w14:solidFill>
              <w14:schemeClr w14:val="tx1"/>
            </w14:solidFill>
          </w14:textFill>
        </w:rPr>
        <w:t xml:space="preserve">一致。否则做无效标处理。</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p>
      <w:pPr>
        <w:numPr>
          <w:ilvl w:val="0"/>
          <w:numId w:val="0"/>
        </w:numPr>
        <w:ind w:left="482"/>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包1采购清单</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598"/>
        <w:gridCol w:w="1503"/>
      </w:tblGrid>
      <w:tr>
        <w:trPr>
          <w:jc w:val="center"/>
          <w:trHeight w:val="789"/>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98"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8"/>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50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图像处理器</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（核心产品）</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p>
        </w:tc>
        <w:tc>
          <w:tcPr>
            <w:tcW w:w="1503" w:type="dxa"/>
            <w:vAlign w:val="center"/>
            <w:vMerge w:val="restart"/>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电子上消化道内窥镜（治疗）</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电子上消化道内窥镜（检查）</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（检查）</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医用监视器</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专用台车</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bl>
    <w:p>
      <w:pPr>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r>
      <w:r/>
    </w:p>
    <w:p>
      <w:p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包2采购清单</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352"/>
        <w:gridCol w:w="1314"/>
      </w:tblGrid>
      <w:tr>
        <w:trPr>
          <w:jc w:val="center"/>
          <w:trHeight w:val="1134"/>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352"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8"/>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314"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14:textFill>
                  <w14:solidFill>
                    <w14:schemeClr w14:val="tx1"/>
                  </w14:solidFill>
                </w14:textFill>
              </w:rPr>
              <w:t xml:space="preserve">内窥镜用二氧化碳供气装置</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p>
        </w:tc>
        <w:tc>
          <w:tcPr>
            <w:tcW w:w="1314" w:type="dxa"/>
            <w:vAlign w:val="center"/>
            <w:vMerge w:val="restart"/>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内窥镜送水装置</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290" w:type="dxa"/>
            <w:vAlign w:val="center"/>
            <w:textDirection w:val="lrTb"/>
            <w:noWrap w:val="false"/>
          </w:tcPr>
          <w:p>
            <w:pPr>
              <w:jc w:val="center"/>
              <w:spacing w:line="240" w:lineRule="auto"/>
              <w:widowControl w:val="off"/>
              <w:rPr>
                <w:rFonts w:hint="eastAsia" w:ascii="Times New Roman" w:hAnsi="Times New Roman" w:eastAsia="宋体" w:cs="Times New Roman"/>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14:textFill>
                  <w14:solidFill>
                    <w14:schemeClr w14:val="tx1"/>
                  </w14:solidFill>
                </w14:textFill>
              </w:rPr>
              <w:t xml:space="preserve">全自动软式内镜清洗消毒器</w:t>
            </w:r>
            <w:r/>
          </w:p>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14:textFill>
                  <w14:solidFill>
                    <w14:schemeClr w14:val="tx1"/>
                  </w14:solidFill>
                </w14:textFill>
              </w:rPr>
              <w:t xml:space="preserve">（双缸）</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内镜清洗工作站</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3290" w:type="dxa"/>
            <w:vAlign w:val="center"/>
            <w:textDirection w:val="lrTb"/>
            <w:noWrap w:val="false"/>
          </w:tcPr>
          <w:p>
            <w:pPr>
              <w:jc w:val="center"/>
              <w:spacing w:line="240" w:lineRule="auto"/>
              <w:widowControl w:val="off"/>
              <w:rPr>
                <w:rFonts w:hint="eastAsia"/>
                <w:b/>
                <w:bCs/>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内镜储镜柜</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3290" w:type="dxa"/>
            <w:vAlign w:val="center"/>
            <w:textDirection w:val="lrTb"/>
            <w:noWrap w:val="false"/>
          </w:tcPr>
          <w:p>
            <w:pPr>
              <w:jc w:val="center"/>
              <w:spacing w:line="240" w:lineRule="auto"/>
              <w:widowControl w:val="off"/>
              <w:rPr>
                <w:rFonts w:hint="eastAsia"/>
                <w:b/>
                <w:bCs/>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纯水机</w:t>
            </w:r>
            <w:r/>
          </w:p>
        </w:tc>
        <w:tc>
          <w:tcPr>
            <w:tcW w:w="85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3290" w:type="dxa"/>
            <w:vAlign w:val="center"/>
            <w:textDirection w:val="lrTb"/>
            <w:noWrap w:val="false"/>
          </w:tcPr>
          <w:p>
            <w:pPr>
              <w:jc w:val="center"/>
              <w:spacing w:line="240" w:lineRule="auto"/>
              <w:widowControl w:val="off"/>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紫外线消毒柜</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bl>
    <w:p>
      <w:pPr>
        <w:numPr>
          <w:ilvl w:val="0"/>
          <w:numId w:val="6"/>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p>
      <w:pPr>
        <w:numPr>
          <w:ilvl w:val="0"/>
          <w:numId w:val="0"/>
        </w:numPr>
        <w:jc w:val="center"/>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包1医用内窥镜技术参数</w:t>
      </w:r>
      <w:r/>
    </w:p>
    <w:p>
      <w:pPr>
        <w:ind w:left="-226" w:right="-358"/>
        <w:jc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图像处理装置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核心产品）技术</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1.测光模式：可以实现均值测光、峰值测光、自动测光</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2.具有白平衡自动调节功能。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3.具备色彩调节功能，具备构造调节功能，对比度拥有高、中、低档可调</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4.可实现光学染色观察模式，光学染色模式≥3种可调；可实现电子染色观察模式，≥9种模式可设置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5.冻结模式：具有图像冻结功能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6.照明光源：采用LED整合光源</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t xml:space="preserve">7.灯泡寿命：＞14000小时</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8.具备自动亮度调整功能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9.主机、光源一体式设计，整机面板按键式设计，面板具备多功能按键及一键待机功能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10.该套电子内窥镜图像处理器可配置同品牌已上市电子检查胃肠镜、电子放大胃肠镜（光学倍率≥145倍）、电子治疗胃肠镜、电子超细胃肠镜、超声小探头系统等消化产品</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（二）电子上消化道内窥镜（治疗）技术参数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4.有效长度或工作长度：≥1050mm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.操作部具有≥4个功能按钮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（三）电子上消化道内窥镜（检查）技术参数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4.有效长度或工作长度：≥1050mm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.操作部具有≥4个功能按钮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（四）电子下消化道内窥镜（检查）技术参数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 视野角≥170°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 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▲3.弯曲角度：上：≥180°/下：≥180°；左：≥160°/右：≥160°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4.有效长度或工作长度：≥1330mm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5.一键插拔，无需防水帽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6.该内镜操作部≥4个功能按钮</w:t>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（五）医用监视器技术参数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1.高清分辨率≥3840×2160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2.监视器≥27寸或者≥32英寸</w:t>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（六）专用台车技术参数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1.台车具有防水及耐腐蚀性</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2.两种方式悬挂镜体，可同时悬挂两条内镜（第二家不满足）</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车针夹持力 ≥45N</w:t>
      </w:r>
      <w:r>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tab/>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outlineLvl w:val="9"/>
        <w:suppressLineNumbers w:val="0"/>
      </w:pPr>
      <w:r>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r>
      <w:r/>
    </w:p>
    <w:p>
      <w:pPr>
        <w:numPr>
          <w:ilvl w:val="0"/>
          <w:numId w:val="0"/>
        </w:numPr>
        <w:jc w:val="center"/>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包2消毒清洗设备技术参数</w:t>
      </w:r>
      <w:r/>
    </w:p>
    <w:p>
      <w:pPr>
        <w:numPr>
          <w:ilvl w:val="0"/>
          <w:numId w:val="0"/>
        </w:numPr>
        <w:jc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（一）内窥镜用二氧化碳供气装置技术参数</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1"/>
          <w14:textFill>
            <w14:solidFill>
              <w14:schemeClr w14:val="tx1"/>
            </w14:solidFill>
          </w14:textFill>
        </w:rPr>
        <w:t xml:space="preserve">输入CO2气体额定压强范围</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0.20MPa</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0.82MPa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14:textFill>
            <w14:solidFill>
              <w14:schemeClr w14:val="tx1"/>
            </w14:solidFill>
          </w14:textFill>
        </w:rPr>
        <w:t xml:space="preserve">输入CO2气体压强上限警告提示最大值</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＞0.82MPa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14:textFill>
            <w14:solidFill>
              <w14:schemeClr w14:val="tx1"/>
            </w14:solidFill>
          </w14:textFill>
        </w:rPr>
        <w:t xml:space="preserve">输入CO2气体压强下限警告提示最小值</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＜0.20MPa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输出CO2气体额定压强</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45kPa±4kPa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输出CO2气体流量下限警告提示最小值</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0.5L/min±0.1L/min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输出CO2气体流量</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L/min±1L/min（可调）</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输出CO2气体额定流量精</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±0.5L/min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输出CO2气体温度范围</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15℃~35℃</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1"/>
          <w:szCs w:val="21"/>
          <w14:textFill>
            <w14:solidFill>
              <w14:schemeClr w14:val="tx1"/>
            </w14:solidFill>
          </w14:textFill>
        </w:rPr>
        <w:t xml:space="preserve">定时模式</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5种</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sz w:val="21"/>
          <w:szCs w:val="21"/>
          <w14:textFill>
            <w14:solidFill>
              <w14:schemeClr w14:val="tx1"/>
            </w14:solidFill>
          </w14:textFill>
        </w:rPr>
        <w:t xml:space="preserve">设备在感控安全性上具备超高 CO 2 过滤性能</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0.5μm及以上微粒的滤除率大于90%</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11.无缝兼容Olympus、Fujifilm、Pentax、等主流品牌内镜主机及国产内镜主机；</w:t>
      </w:r>
      <w:r/>
    </w:p>
    <w:p>
      <w:pPr>
        <w:numPr>
          <w:ilvl w:val="0"/>
          <w:numId w:val="0"/>
        </w:numPr>
        <w:jc w:val="center"/>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（二）内窥镜送水装置技术参数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1、无缝兼容Olympus、Fujifilm、Pentax、等主流品牌内镜主机及国产内镜主机；</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2、适用泵管内径：3.2mm、4.8mm(壁厚1.6mm)</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3、输出压强：323kPa～357kPa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4、输出流量：0~300±30mL/min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0~600±60mL/min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5、定时时间：20s</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6、定时精度：±3s</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水泵送水具有即送即停功能，避免手术中送水延时影响做手术的时间，满足临床手术不同需求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8、十段档位设置，自动流量记忆；</w:t>
      </w:r>
      <w:r/>
    </w:p>
    <w:p>
      <w:pPr>
        <w:numPr>
          <w:ilvl w:val="0"/>
          <w:numId w:val="0"/>
        </w:numPr>
        <w:jc w:val="center"/>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（三）全自动软式内镜清洗消毒器（双缸）技术参数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1▲清洗槽材质:采用304不锈钢及以上材质一次性拉伸成型。提供实物图片作为佐证资料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2清洗槽数量：采用双槽方式。独立运行；</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3处理镜子数量：≥4条胃肠镜;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4全流程运行时间：整体运行程序：≤17分钟;</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5全封闭消毒方式：洗消槽采用电动推杆压紧密封胶条的全封闭结构;</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6开门方式：自动开关门，感应式控制开关，不需要接触脚踏板，在双手拿内镜时也可轻松开启玻璃门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7门障碍保护功能：采用防夹手门胶条，关门过程中若受到障碍，触发门保护报警并自动弹起;提供第三方检测报告</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8▲附件超声清洗：具备内镜附件专用清洗篮筐，并且配备有超声清洗装置，可以实现内镜附件的超声清洗，提供实物图片作为佐证资料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9节约槽设计：槽体采用节液状态设计模式，单个运行过程清洗液或消毒剂使用量≤8L，节约消毒剂、清洗剂的使用，降低设备运行成本;</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10运行流程：清洗流程应符合YY0734.1和GB30689中性能指标的要求，流程应至少包含泄漏测试、冲洗、清洗、漂洗、消毒、最后漂洗和干燥过程</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11测漏功能要求：采用全程适时内镜测漏监控装置；若内镜存在微小泄露，设备持续提供正压，程序结束后提示；若内镜存在大泄露，在接触液体前强制退出并报警</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12自身消毒模式：具备“本机消毒液”和“其他消毒液”两种模式。选择“本机消毒液”，可利用临近过期的消毒液进行设备自消毒，选择“其他消毒液”模式，可以用含氯消毒剂等消毒液进行设备自消毒；</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13：内管腔增压泵压力监测：通过可视化窗口，可直观的检测内管腔增压泵压力状况，确保内镜清洗消毒合格；</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14清洗方式：采用浸泡+底部和顶部两级旋转喷淋装置进行清洗，消除槽内清洗死角；</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15过程数据打印：能够打印每一条内镜清洗消毒的过程数据：操作员编号、程序名称、洗消日期、洗消时间、阶段名称、阶段时间，并提供打印样品扫描件；</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16消毒剂自动取样功能：通过独立的消毒液取样泵控制，可实现消毒液的自动取样</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17清洗阶段加热加热识别：具备循环管路加热功能，实现清洗阶段加热，最大程度保证清洗效果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18无菌水漂洗：采用内置≥0.2μm无菌水过滤器；消毒后使用≥0.2μm过滤器过滤的无菌水漂洗，避免不干净的漂洗水再次污染消毒好的内镜;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19空气干燥功能：采用设备自带的空压机干燥内镜内管腔，无需外接压缩气</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20中文触摸屏显示：采用≥5.0英寸彩色触摸屏显示，能够显示运行过程的程序名称、洗消日期、运行阶段名称和阶段计时并能自动记录洗消次数。提供运行界面实物照片</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 内镜清洗工作站技术参数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1"/>
          <w14:textFill>
            <w14:solidFill>
              <w14:schemeClr w14:val="tx1"/>
            </w14:solidFill>
          </w14:textFill>
        </w:rPr>
        <w:t xml:space="preserve">用于完成软式内镜的清洗、漂洗、</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超声</w:t>
      </w:r>
      <w:r>
        <w:rPr>
          <w:rFonts w:hint="eastAsia" w:ascii="Times New Roman" w:hAnsi="Times New Roman" w:eastAsia="宋体" w:cs="Times New Roman"/>
          <w:color w:val="000000" w:themeColor="text1"/>
          <w:sz w:val="21"/>
          <w:szCs w:val="21"/>
          <w14:textFill>
            <w14:solidFill>
              <w14:schemeClr w14:val="tx1"/>
            </w14:solidFill>
          </w14:textFill>
        </w:rPr>
        <w:t xml:space="preserve">、消毒、终末漂洗和干燥</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14:textFill>
            <w14:solidFill>
              <w14:schemeClr w14:val="tx1"/>
            </w14:solidFill>
          </w14:textFill>
        </w:rPr>
        <w:t xml:space="preserve">台面、清洗槽、功能背板、干燥台材质要求：采用进口高分子复合材料整体热合吸塑成型，板材厚度≥5MM。提供国家药品监督管理局提供的检验报告</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14:textFill>
            <w14:solidFill>
              <w14:schemeClr w14:val="tx1"/>
            </w14:solidFill>
          </w14:textFill>
        </w:rPr>
        <w:t xml:space="preserve">清洗槽形状要求：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清洗槽内侧底部设计凸起，有效地减少内镜与槽体的接触面积，提高清洗浸泡的效果。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1"/>
          <w:szCs w:val="21"/>
          <w14:textFill>
            <w14:solidFill>
              <w14:schemeClr w14:val="tx1"/>
            </w14:solidFill>
          </w14:textFill>
        </w:rPr>
        <w:t xml:space="preserve">干燥台形状要求：采用内凹式平台倒角设计，平台台面低于前端，干燥台前端设计有倒角斜度，两端设计挡水台</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干燥台面承重要求：亚克力材质≥100KG</w:t>
      </w:r>
      <w:r>
        <w:rPr>
          <w:rFonts w:hint="eastAsia" w:ascii="Times New Roman" w:hAnsi="Times New Roman" w:eastAsia="宋体" w:cs="Times New Roman"/>
          <w:color w:val="000000" w:themeColor="text1"/>
          <w:sz w:val="21"/>
          <w:szCs w:val="21"/>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(提供佐证资料)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功能背板要求：背板采用与清洗槽相同的材质，非碳钢或不锈钢烤漆材质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1"/>
          <w:szCs w:val="21"/>
          <w14:textFill>
            <w14:solidFill>
              <w14:schemeClr w14:val="tx1"/>
            </w14:solidFill>
          </w14:textFill>
        </w:rPr>
        <w:t xml:space="preserve">浸泡槽盖材质及数量要求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采用透明亚克力板材一次成型，并配有手柄，板材厚度≥4mm。可以清晰看到浸泡清洗的状况</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1"/>
          <w:szCs w:val="21"/>
          <w14:textFill>
            <w14:solidFill>
              <w14:schemeClr w14:val="tx1"/>
            </w14:solidFill>
          </w14:textFill>
        </w:rPr>
        <w:t xml:space="preserve">柜门材质要求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采用彩色钢化玻璃，非整体柜门设计，柜门铰链采用优质品牌阻尼铰链，实现柜门自动闭合到位。（提供相关的生产厂家及材质证明佐证材料）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1"/>
          <w:szCs w:val="21"/>
          <w14:textFill>
            <w14:solidFill>
              <w14:schemeClr w14:val="tx1"/>
            </w14:solidFill>
          </w14:textFill>
        </w:rPr>
        <w:t xml:space="preserve">水/气“一次性”全自动灌注器主机要求：采用隐藏式后置设计，一键式操作；注水注气系统采用分离式设计，脉冲注水功能，在注水完成后自动实现注气的切换，系统采用“一次性”注水</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1"/>
          <w:szCs w:val="21"/>
          <w14:textFill>
            <w14:solidFill>
              <w14:schemeClr w14:val="tx1"/>
            </w14:solidFill>
          </w14:textFill>
        </w:rPr>
        <w:t xml:space="preserve">酶液/消毒液全自动循环灌注器主机要求：采用隐藏式后置设计，一键式操作；注液注气系统采用分离式设计，脉冲注液功能，在注液完成后自动实现注气的切换，系统采用循环注液</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sz w:val="21"/>
          <w:szCs w:val="21"/>
          <w14:textFill>
            <w14:solidFill>
              <w14:schemeClr w14:val="tx1"/>
            </w14:solidFill>
          </w14:textFill>
        </w:rPr>
        <w:t xml:space="preserve">高压水枪</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和气枪</w:t>
      </w:r>
      <w:r>
        <w:rPr>
          <w:rFonts w:hint="eastAsia" w:ascii="Times New Roman" w:hAnsi="Times New Roman" w:eastAsia="宋体" w:cs="Times New Roman"/>
          <w:color w:val="000000" w:themeColor="text1"/>
          <w:sz w:val="21"/>
          <w:szCs w:val="21"/>
          <w14:textFill>
            <w14:solidFill>
              <w14:schemeClr w14:val="tx1"/>
            </w14:solidFill>
          </w14:textFill>
        </w:rPr>
        <w:t xml:space="preserve">材质及功能要求：枪体采用SUS304不锈钢，配备</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八个螺旋式清洗喷嘴，清洗喷嘴与枪体之间可以任意更换，适合不同类型的内镜管道，对内镜管道及手术器械管壁进行彻底冲洗；</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11:</w:t>
      </w:r>
      <w:r>
        <w:rPr>
          <w:rFonts w:hint="eastAsia" w:ascii="Times New Roman" w:hAnsi="Times New Roman" w:eastAsia="宋体" w:cs="Times New Roman"/>
          <w:color w:val="000000" w:themeColor="text1"/>
          <w:sz w:val="21"/>
          <w:szCs w:val="21"/>
          <w14:textFill>
            <w14:solidFill>
              <w14:schemeClr w14:val="tx1"/>
            </w14:solidFill>
          </w14:textFill>
        </w:rPr>
        <w:t xml:space="preserve">水质过滤器要求：对工作站末洗槽内镜的灌流和冲洗提供符合规范要求的过滤水，过滤型水处理器为≤1μm和0.1μm分级高精度超微过滤流量：≥0.3T/h，可更换滤芯</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12控制器要求：采用液晶中文显示屏，各流程功能均微电脑控制，隐藏式设计，采用触摸控制按键，非按键膜按键，每槽实际操作流，均按照屏幕提示进行清洗，并具备定时、倒计时功能。（提供实物照片佐证材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13</w:t>
      </w:r>
      <w:r>
        <w:rPr>
          <w:rFonts w:hint="eastAsia" w:ascii="Times New Roman" w:hAnsi="Times New Roman" w:eastAsia="宋体" w:cs="Times New Roman"/>
          <w:color w:val="000000" w:themeColor="text1"/>
          <w:sz w:val="21"/>
          <w:szCs w:val="21"/>
          <w14:textFill>
            <w14:solidFill>
              <w14:schemeClr w14:val="tx1"/>
            </w14:solidFill>
          </w14:textFill>
        </w:rPr>
        <w:t xml:space="preserve">自动/手动双控水源控制要求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:具备</w:t>
      </w:r>
      <w:r>
        <w:rPr>
          <w:rFonts w:hint="eastAsia" w:ascii="Times New Roman" w:hAnsi="Times New Roman" w:eastAsia="宋体" w:cs="Times New Roman"/>
          <w:color w:val="000000" w:themeColor="text1"/>
          <w:sz w:val="21"/>
          <w:szCs w:val="21"/>
          <w14:textFill>
            <w14:solidFill>
              <w14:schemeClr w14:val="tx1"/>
            </w14:solidFill>
          </w14:textFill>
        </w:rPr>
        <w:t xml:space="preserve">自动</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和</w:t>
      </w:r>
      <w:r>
        <w:rPr>
          <w:rFonts w:hint="eastAsia" w:ascii="Times New Roman" w:hAnsi="Times New Roman" w:eastAsia="宋体" w:cs="Times New Roman"/>
          <w:color w:val="000000" w:themeColor="text1"/>
          <w:sz w:val="21"/>
          <w:szCs w:val="21"/>
          <w14:textFill>
            <w14:solidFill>
              <w14:schemeClr w14:val="tx1"/>
            </w14:solidFill>
          </w14:textFill>
        </w:rPr>
        <w:t xml:space="preserve">手动双控水源的开关，不仅可实现总水源的自动关闭，</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即</w:t>
      </w:r>
      <w:r>
        <w:rPr>
          <w:rFonts w:hint="eastAsia" w:ascii="Times New Roman" w:hAnsi="Times New Roman" w:eastAsia="宋体" w:cs="Times New Roman"/>
          <w:color w:val="000000" w:themeColor="text1"/>
          <w:sz w:val="21"/>
          <w:szCs w:val="21"/>
          <w14:textFill>
            <w14:solidFill>
              <w14:schemeClr w14:val="tx1"/>
            </w14:solidFill>
          </w14:textFill>
        </w:rPr>
        <w:t xml:space="preserve">实现在断电情况下手动打开总水源，保证工作站的正常使用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14</w:t>
      </w:r>
      <w:r>
        <w:rPr>
          <w:rFonts w:hint="eastAsia" w:ascii="Times New Roman" w:hAnsi="Times New Roman" w:eastAsia="宋体" w:cs="Times New Roman"/>
          <w:color w:val="000000" w:themeColor="text1"/>
          <w:sz w:val="21"/>
          <w:szCs w:val="21"/>
          <w14:textFill>
            <w14:solidFill>
              <w14:schemeClr w14:val="tx1"/>
            </w14:solidFill>
          </w14:textFill>
        </w:rPr>
        <w:t xml:space="preserve">全自动内镜测漏器要求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w:t>
      </w:r>
      <w:r>
        <w:rPr>
          <w:rFonts w:hint="eastAsia" w:ascii="Times New Roman" w:hAnsi="Times New Roman" w:eastAsia="宋体" w:cs="Times New Roman"/>
          <w:color w:val="000000" w:themeColor="text1"/>
          <w:sz w:val="21"/>
          <w:szCs w:val="21"/>
          <w14:textFill>
            <w14:solidFill>
              <w14:schemeClr w14:val="tx1"/>
            </w14:solidFill>
          </w14:textFill>
        </w:rPr>
        <w:t xml:space="preserve">内镜专用气泵，多种测漏压力可选，满足不同类型、品牌内镜测漏压力要求，测漏完成后自动排气，隐藏式后置设计，一键启动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15</w:t>
      </w:r>
      <w:r>
        <w:rPr>
          <w:rFonts w:hint="eastAsia" w:ascii="Times New Roman" w:hAnsi="Times New Roman" w:eastAsia="宋体" w:cs="Times New Roman"/>
          <w:color w:val="000000" w:themeColor="text1"/>
          <w:sz w:val="21"/>
          <w:szCs w:val="21"/>
          <w14:textFill>
            <w14:solidFill>
              <w14:schemeClr w14:val="tx1"/>
            </w14:solidFill>
          </w14:textFill>
        </w:rPr>
        <w:t xml:space="preserve">自动供酶系统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:可</w:t>
      </w:r>
      <w:r>
        <w:rPr>
          <w:rFonts w:hint="eastAsia" w:ascii="Times New Roman" w:hAnsi="Times New Roman" w:eastAsia="宋体" w:cs="Times New Roman"/>
          <w:color w:val="000000" w:themeColor="text1"/>
          <w:sz w:val="21"/>
          <w:szCs w:val="21"/>
          <w14:textFill>
            <w14:solidFill>
              <w14:schemeClr w14:val="tx1"/>
            </w14:solidFill>
          </w14:textFill>
        </w:rPr>
        <w:t xml:space="preserve">自动添加清洗酶，配带液位检测功能，清洗酶用完后，自动报警提示，可以不同厂家的清洗酶配套使用，一键启动，</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具有</w:t>
      </w:r>
      <w:r>
        <w:rPr>
          <w:rFonts w:hint="eastAsia" w:ascii="Times New Roman" w:hAnsi="Times New Roman" w:eastAsia="宋体" w:cs="Times New Roman"/>
          <w:color w:val="000000" w:themeColor="text1"/>
          <w:sz w:val="21"/>
          <w:szCs w:val="21"/>
          <w14:textFill>
            <w14:solidFill>
              <w14:schemeClr w14:val="tx1"/>
            </w14:solidFill>
          </w14:textFill>
        </w:rPr>
        <w:t xml:space="preserve">酶液不足提示报警，并在控制屏上显示“清洗液不足”。（提供控制屏“清洗液不足”照片佐证材料及国家药品监督管理局提供的检验报告）</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16▲</w:t>
      </w:r>
      <w:r>
        <w:rPr>
          <w:rFonts w:hint="eastAsia" w:ascii="Times New Roman" w:hAnsi="Times New Roman" w:eastAsia="宋体" w:cs="Times New Roman"/>
          <w:color w:val="000000" w:themeColor="text1"/>
          <w:sz w:val="21"/>
          <w:szCs w:val="21"/>
          <w14:textFill>
            <w14:solidFill>
              <w14:schemeClr w14:val="tx1"/>
            </w14:solidFill>
          </w14:textFill>
        </w:rPr>
        <w:t xml:space="preserve">消毒液气体解析系统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主机位于柜体内部的隐藏式设计，随时分解并通过下水总管排除槽内会发的消毒液</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及时抽走有害气体产生的气溶胶。</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17医用空气压缩机:采用医用空气压缩机，有主动散热、自动排水功能，供气压力：max0.7MPa 供气量：≥120L/min 储气量：≥30L  噪音≦50dB 电压：220V 输出功率：≤750W，为内镜清洗工作提供持续纯净的压力空气。</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18▲追溯读卡器隐藏式设计:追溯读卡器隐藏式设计</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19超声波清洗:采用内嵌式设计，材质为SUS304不锈钢及以上材质，四周应有橡胶减震胶条，与设备主体融合，工作频率：38～41KHz。</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（五）内镜储镜柜技术参数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1外罩：外罩内部采用≥1.5MM厚钢模塑钢板成型，外罩采用整体焊接，无拼接缝隙；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2容量：≥6条内镜；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3储存方式：采用垂直悬挂的形式进行储存；</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4固定方式：固定采用上中下三层定位，保证内镜悬挂过程中的稳定，安全可靠，最大程度保护内镜；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5功能要求：</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1）可实现0-99min不间断通风、杀菌，时间到，自动停止；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br/>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2）可根据需求分别设置通风、杀菌时间，并能保存设置参数；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3）可实现对风机、紫外线杀菌灯、照明灯的分别控制；</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6循环方式：采用≥两个风机，风机以一进风一出风方式运行，保证内胆中空气循环流动；</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（六）纯水机技术参数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1、基本要求：为内镜室提供无菌纯化水，产水量：300L/H。</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水利用率 ≥70%、脱盐率≥ 99.6%</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3、产水水质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产水水质符合WS310-2016清洗用水要求电导率≤15us/cm（25℃）；以及软式内镜清洗用水标准菌落数率≤10cfu/100ml。</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4、设备主要技术要求/标准性能/优点</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1）以城市自来水为水源直接制备无菌纯化水，采用预处理+反渗透处理+恒压供水+消毒技术。</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2）系统管道采用全密封式运行，预处理系统自动冲洗及再生运行，反渗透系统具有自动脉冲冲洗功能。</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5、预处理装置</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预处理系统由软化过滤器、保安过滤器组成，阀体为全自动控制阀，软化过滤器：滤料为001x7型离子树脂，</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6、反渗透装置</w:t>
      </w:r>
      <w:r/>
    </w:p>
    <w:p>
      <w:pPr>
        <w:jc w:val="left"/>
        <w:keepLines w:val="0"/>
        <w:keepNext w:val="0"/>
        <w:pageBreakBefore w:val="0"/>
        <w:spacing w:line="460" w:lineRule="exact"/>
        <w:widowControl/>
        <w:rPr>
          <w:rFonts w:hint="eastAsia"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1）处理方式：单级反渗透，高压泵要求：</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过流</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材质304不锈钢，法兰连接， 膜元件要求：脱盐率≥99%、膜片类型为：芳香族聚酰胺复合膜</w:t>
      </w:r>
      <w:r>
        <w:rPr>
          <w:rFonts w:hint="eastAsia" w:cs="Times New Roman"/>
          <w:color w:val="000000" w:themeColor="text1"/>
          <w:sz w:val="21"/>
          <w:szCs w:val="21"/>
          <w:lang w:val="en-US"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纯水供水系统：由内置纯水箱、纯水泵组成。</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7.1、纯水箱：容积≥220L。</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Hans"/>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7.2、纯水泵：全自动控制运行，无需添加任何辅助控制。 扬程：≥28米，流量：≥4</w:t>
      </w:r>
      <w:r>
        <w:rPr>
          <w:rFonts w:hint="eastAsia" w:ascii="Times New Roman" w:hAnsi="Times New Roman" w:eastAsia="宋体" w:cs="Times New Roman"/>
          <w:color w:val="000000" w:themeColor="text1"/>
          <w:sz w:val="21"/>
          <w:szCs w:val="21"/>
          <w14:textFill>
            <w14:solidFill>
              <w14:schemeClr w14:val="tx1"/>
            </w14:solidFill>
          </w14:textFill>
        </w:rPr>
        <w:t xml:space="preserve">m³/h</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,过流材质：304不锈钢。</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Hans"/>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8、消毒系统：AB剂自动投加</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系统+后置细菌过滤器+循环管路组成。</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9、电控系统：</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采用</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全自动控制系统。在线显示电导率、压力及</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系统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主要部件</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运行状态</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。具有过载、短路、自动复位等功能，及无水保护，压力保护等多重保护，可实现多功能在线监测及手自动切换功能。</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Hans"/>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10、主机：</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采用全包围式设计，。</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底部配备万向轮。</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11、系统管路采用卫生级U-pvc。</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（七）紫外线消毒柜技术参数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基本要求：为口腔科器械提供紫外线消毒。</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、容     量：</w:t>
      </w:r>
      <w:r>
        <w:rPr>
          <w:rFonts w:hint="eastAsia"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60L</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、有机玻璃透明度：≥97℅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、耐温：0℃～50℃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、抗冲击力：(2.4㎏～3.0㎏)/c㎡</w:t>
      </w:r>
      <w:r/>
    </w:p>
    <w:p>
      <w:pPr>
        <w:jc w:val="left"/>
        <w:keepLines w:val="0"/>
        <w:keepNext w:val="0"/>
        <w:pageBreakBefore w:val="0"/>
        <w:spacing w:line="460" w:lineRule="exact"/>
        <w:widowControl/>
        <w:rPr>
          <w:rFonts w:hint="eastAsia" w:ascii="宋体" w:hAnsi="宋体" w:cs="宋体"/>
          <w:b/>
          <w:bCs/>
          <w:color w:val="000000" w:themeColor="text1"/>
          <w:sz w:val="21"/>
          <w:szCs w:val="21"/>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紫外线灯管</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:采用石英玻璃制作</w:t>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每年免费设备维护和现场巡检至少1次。因投标方设计安装原因而出现故障，则质保期从故障修复之日起重新开始计算。同步延长</w:t>
      </w: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7"/>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质保期限：至少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年（自终验合格日起）</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接报后4小时内响应，远程指导解决或协商约定现场处理时间，5个工作日内完成处置。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5"/>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48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采购合同签订后按采购方要求开始供货安装（可分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供货安装），10日内完成全部设备的安装调试并通过验收。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w:t>
      </w: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百家湖社区卫生服务中心采购医用内窥镜及消毒清洗设备一批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根据《</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关于推动解决政府采购异常低价问题相关工作的通知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（苏财购〔2025〕62号）的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规定如下：</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（一）评审过程中出现下列情形之一的，评审委员会应当启动异常低价投标（响应）审查程序：</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1．投标（响应）报价低于采购项目预算50%的，即投标（响应）报价&lt;采购项目预算×50%；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3.评审委员会认定的供应商报价过低、有可能影响产品质量或者不能诚信履约的其他情形。</w:t>
      </w:r>
      <w:r/>
    </w:p>
    <w:p>
      <w:pPr>
        <w:ind w:firstLine="480"/>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themeColor="text1"/>
          <w:sz w:val="36"/>
          <w:highlight w:val="none"/>
          <w:lang w:val="zh-CN" w:eastAsia="zh-CN"/>
          <w14:textFill>
            <w14:solidFill>
              <w14:schemeClr w14:val="tx1"/>
            </w14:solidFill>
          </w14:textFill>
        </w:rPr>
        <w:br w:type="page" w:clear="all"/>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6"/>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6"/>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南京市江宁区医疗设备采购合同</w:t>
      </w:r>
      <w:r/>
    </w:p>
    <w:p>
      <w:pPr>
        <w:ind w:firstLine="315"/>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1918"/>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合同编号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项目名称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xx 医疗</w:t>
      </w:r>
      <w:r>
        <w:rPr>
          <w:rFonts w:hint="eastAsia" w:ascii="宋体" w:hAnsi="宋体" w:eastAsia="宋体" w:cs="宋体"/>
          <w:b/>
          <w:color w:val="000000" w:themeColor="text1"/>
          <w:sz w:val="30"/>
          <w:szCs w:val="30"/>
          <w:u w:val="single"/>
          <w14:textFill>
            <w14:solidFill>
              <w14:schemeClr w14:val="tx1"/>
            </w14:solidFill>
          </w14:textFill>
        </w:rPr>
        <w:t xml:space="preserve">设备</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采购单位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中标单位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签订日期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spacing w:line="24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br w:type="page" w:clear="all"/>
      </w:r>
      <w:r>
        <w:rPr>
          <w:rFonts w:hint="eastAsia" w:ascii="宋体" w:hAnsi="宋体" w:eastAsia="宋体" w:cs="宋体"/>
          <w:color w:val="000000" w:themeColor="text1"/>
          <w:lang w:eastAsia="zh-CN"/>
          <w14:textFill>
            <w14:solidFill>
              <w14:schemeClr w14:val="tx1"/>
            </w14:solidFill>
          </w14:textFill>
        </w:rPr>
        <w:t xml:space="preserve">合同编号: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采购人(以下称甲方) :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供应商(以下称乙方)：</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住所地: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住所地:</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根据《中华人民共和国政府采购法》《中华人民共和国民法典》等法律法规的规定，甲乙双方按照</w:t>
      </w:r>
      <w:r>
        <w:rPr>
          <w:rFonts w:hint="eastAsia" w:ascii="宋体" w:hAnsi="宋体" w:eastAsia="宋体" w:cs="宋体"/>
          <w:b/>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采购结果签订本合同。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第一条 合同标的</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乙方根据甲方要求提供下列货物及服务:</w:t>
      </w:r>
      <w:r/>
    </w:p>
    <w:tbl>
      <w:tblPr>
        <w:tblStyle w:val="685"/>
        <w:tblpPr w:horzAnchor="page" w:tblpX="1297"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规格型号</w:t>
            </w:r>
            <w:r/>
          </w:p>
        </w:tc>
        <w:tc>
          <w:tcPr>
            <w:tcW w:w="776" w:type="dxa"/>
            <w:vAlign w:val="center"/>
            <w:textDirection w:val="lrTb"/>
            <w:noWrap w:val="false"/>
          </w:tcPr>
          <w:p>
            <w:pPr>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品牌</w:t>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单价（元）</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总价（元）</w:t>
            </w:r>
            <w:r/>
          </w:p>
        </w:tc>
        <w:tc>
          <w:tcPr>
            <w:tcW w:w="144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443"/>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gridSpan w:val="2"/>
            <w:tcW w:w="302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货物及服务内容详见乙方响应性文件等。</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第二条 合同总价款</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本合同项下货物及服务</w:t>
      </w:r>
      <w:r>
        <w:rPr>
          <w:rFonts w:hint="eastAsia" w:ascii="宋体" w:hAnsi="宋体" w:cs="宋体"/>
          <w:color w:val="000000" w:themeColor="text1"/>
          <w:lang w:eastAsia="zh-CN"/>
          <w14:textFill>
            <w14:solidFill>
              <w14:schemeClr w14:val="tx1"/>
            </w14:solidFill>
          </w14:textFill>
        </w:rPr>
        <w:t xml:space="preserve">含税</w:t>
      </w:r>
      <w:r>
        <w:rPr>
          <w:rFonts w:hint="eastAsia" w:ascii="宋体" w:hAnsi="宋体" w:eastAsia="宋体" w:cs="宋体"/>
          <w:color w:val="000000" w:themeColor="text1"/>
          <w:lang w:eastAsia="zh-CN"/>
          <w14:textFill>
            <w14:solidFill>
              <w14:schemeClr w14:val="tx1"/>
            </w14:solidFill>
          </w14:textFill>
        </w:rPr>
        <w:t xml:space="preserve">总价款为</w:t>
      </w:r>
      <w:r>
        <w:rPr>
          <w:rFonts w:hint="eastAsia" w:ascii="宋体" w:hAnsi="宋体" w:eastAsia="宋体" w:cs="宋体"/>
          <w:color w:val="000000" w:themeColor="text1"/>
          <w:u w:val="none"/>
          <w:lang w:eastAsia="zh-CN"/>
          <w14:textFill>
            <w14:solidFill>
              <w14:schemeClr w14:val="tx1"/>
            </w14:solidFill>
          </w14:textFill>
        </w:rPr>
        <w:t xml:space="preserve">(大写)</w:t>
      </w:r>
      <w:r>
        <w:rPr>
          <w:rFonts w:hint="eastAsia" w:ascii="宋体" w:hAnsi="宋体" w:eastAsia="宋体" w:cs="宋体"/>
          <w:color w:val="000000" w:themeColor="text1"/>
          <w:lang w:eastAsia="zh-CN"/>
          <w14:textFill>
            <w14:solidFill>
              <w14:schemeClr w14:val="tx1"/>
            </w14:solidFill>
          </w14:textFill>
        </w:rPr>
        <w:t xml:space="preserve">人民币</w:t>
      </w:r>
      <w:r>
        <w:rPr>
          <w:rFonts w:hint="eastAsia" w:ascii="宋体" w:hAnsi="宋体" w:eastAsia="宋体" w:cs="宋体"/>
          <w:color w:val="000000" w:themeColor="text1"/>
          <w:u w:val="single"/>
          <w:lang w:val="en-US" w:eastAsia="zh-CN"/>
          <w14:textFill>
            <w14:solidFill>
              <w14:schemeClr w14:val="tx1"/>
            </w14:solidFill>
          </w14:textFill>
        </w:rPr>
        <w:t xml:space="preserve">                         元整（￥         ）</w:t>
      </w:r>
      <w:r>
        <w:rPr>
          <w:rFonts w:hint="eastAsia" w:ascii="宋体" w:hAnsi="宋体" w:eastAsia="宋体" w:cs="宋体"/>
          <w:color w:val="000000" w:themeColor="text1"/>
          <w:lang w:eastAsia="zh-CN"/>
          <w14:textFill>
            <w14:solidFill>
              <w14:schemeClr w14:val="tx1"/>
            </w14:solidFill>
          </w14:textFill>
        </w:rPr>
        <w:t xml:space="preserve">。</w:t>
      </w:r>
      <w:r>
        <w:rPr>
          <w:rFonts w:hint="eastAsia"/>
          <w:color w:val="000000" w:themeColor="text1"/>
          <w:lang w:eastAsia="zh-CN"/>
          <w14:textFill>
            <w14:solidFill>
              <w14:schemeClr w14:val="tx1"/>
            </w14:solidFill>
          </w14:textFill>
        </w:rPr>
        <w:t xml:space="preserve">甲方就本合同不再向乙方支付任何其他款项。</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第三条 组成本合同的有关文件</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招标文件和有关附件是本合同不可分割的组成部分，</w:t>
      </w:r>
      <w:r>
        <w:rPr>
          <w:rFonts w:hint="eastAsia" w:ascii="宋体" w:hAnsi="宋体" w:eastAsia="宋体" w:cs="宋体"/>
          <w:color w:val="000000" w:themeColor="text1"/>
          <w:highlight w:val="none"/>
          <w:lang w:eastAsia="zh-CN"/>
          <w14:textFill>
            <w14:solidFill>
              <w14:schemeClr w14:val="tx1"/>
            </w14:solidFill>
          </w14:textFill>
        </w:rPr>
        <w:t xml:space="preserve">以招</w:t>
      </w:r>
      <w:r>
        <w:rPr>
          <w:rFonts w:hint="eastAsia" w:ascii="宋体" w:hAnsi="宋体" w:cs="宋体"/>
          <w:color w:val="000000" w:themeColor="text1"/>
          <w:highlight w:val="none"/>
          <w:lang w:eastAsia="zh-CN"/>
          <w14:textFill>
            <w14:solidFill>
              <w14:schemeClr w14:val="tx1"/>
            </w14:solidFill>
          </w14:textFill>
        </w:rPr>
        <w:t xml:space="preserve">投</w:t>
      </w:r>
      <w:r>
        <w:rPr>
          <w:rFonts w:hint="eastAsia" w:ascii="宋体" w:hAnsi="宋体" w:eastAsia="宋体" w:cs="宋体"/>
          <w:color w:val="000000" w:themeColor="text1"/>
          <w:highlight w:val="none"/>
          <w:lang w:eastAsia="zh-CN"/>
          <w14:textFill>
            <w14:solidFill>
              <w14:schemeClr w14:val="tx1"/>
            </w14:solidFill>
          </w14:textFill>
        </w:rPr>
        <w:t xml:space="preserve">标文件为准</w:t>
      </w:r>
      <w:r>
        <w:rPr>
          <w:rFonts w:hint="eastAsia" w:ascii="宋体" w:hAnsi="宋体" w:eastAsia="宋体" w:cs="宋体"/>
          <w:color w:val="000000" w:themeColor="text1"/>
          <w:lang w:eastAsia="zh-CN"/>
          <w14:textFill>
            <w14:solidFill>
              <w14:schemeClr w14:val="tx1"/>
            </w14:solidFill>
          </w14:textFill>
        </w:rPr>
        <w:t xml:space="preserve">，与本合同具有同等法律效力。</w:t>
      </w:r>
      <w:r/>
    </w:p>
    <w:p>
      <w:pPr>
        <w:ind w:firstLine="482"/>
        <w:keepLines w:val="0"/>
        <w:keepNext w:val="0"/>
        <w:pageBreakBefore w:val="0"/>
        <w:spacing w:after="0" w:line="420" w:lineRule="exact"/>
        <w:widowControl/>
        <w:rPr>
          <w:rFonts w:hint="eastAsia"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注：原厂质保材料附后。（详见附件1）</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第四条 权利保证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第五条 质量保证</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1、质保期为</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年</w:t>
      </w:r>
      <w:r>
        <w:rPr>
          <w:rFonts w:hint="eastAsia" w:ascii="宋体" w:hAnsi="宋体" w:cs="宋体"/>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质保责任应符合招投标文件中的要求。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第六条 交付使用和验收</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1、交付时间:</w:t>
      </w:r>
      <w:r>
        <w:rPr>
          <w:rFonts w:hint="eastAsia" w:ascii="宋体" w:hAnsi="宋体" w:eastAsia="宋体" w:cs="宋体"/>
          <w:color w:val="000000" w:themeColor="text1"/>
          <w:u w:val="single"/>
          <w:lang w:eastAsia="zh-CN"/>
          <w14:textFill>
            <w14:solidFill>
              <w14:schemeClr w14:val="tx1"/>
            </w14:solidFill>
          </w14:textFill>
        </w:rPr>
        <w:t xml:space="preserve">自合同签订之日起10日内完成供货</w:t>
      </w:r>
      <w:r>
        <w:rPr>
          <w:rFonts w:hint="eastAsia" w:ascii="宋体" w:hAnsi="宋体" w:eastAsia="宋体" w:cs="宋体"/>
          <w:color w:val="000000" w:themeColor="text1"/>
          <w:lang w:eastAsia="zh-CN"/>
          <w14:textFill>
            <w14:solidFill>
              <w14:schemeClr w14:val="tx1"/>
            </w14:solidFill>
          </w14:textFill>
        </w:rPr>
        <w:t xml:space="preserve">；</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2、交付地点:采购人指定地点。</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3、验收标准及要求。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第七条 付款条件、时间及方式</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2、付款方式：（1）本合同项下所有款项均以人民币支付。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(2)产品运抵采购人指定的位置，经验收合格，</w:t>
      </w:r>
      <w:r>
        <w:rPr>
          <w:rFonts w:hint="eastAsia"/>
          <w:color w:val="000000" w:themeColor="text1"/>
          <w:lang w:val="en-US" w:eastAsia="zh-CN"/>
          <w14:textFill>
            <w14:solidFill>
              <w14:schemeClr w14:val="tx1"/>
            </w14:solidFill>
          </w14:textFill>
        </w:rPr>
        <w:t xml:space="preserve">乙方开具相应的票据，采购人</w:t>
      </w:r>
      <w:r>
        <w:rPr>
          <w:rFonts w:hint="eastAsia" w:ascii="宋体" w:hAnsi="宋体" w:eastAsia="宋体" w:cs="宋体"/>
          <w:color w:val="000000" w:themeColor="text1"/>
          <w:highlight w:val="none"/>
          <w:lang w:eastAsia="zh-CN"/>
          <w14:textFill>
            <w14:solidFill>
              <w14:schemeClr w14:val="tx1"/>
            </w14:solidFill>
          </w14:textFill>
        </w:rPr>
        <w:t xml:space="preserve">支付合同总价的</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lang w:eastAsia="zh-CN"/>
          <w14:textFill>
            <w14:solidFill>
              <w14:schemeClr w14:val="tx1"/>
            </w14:solidFill>
          </w14:textFill>
        </w:rPr>
        <w:t xml:space="preserve">%货款;自验收合格满一年，</w:t>
      </w:r>
      <w:r>
        <w:rPr>
          <w:rFonts w:hint="eastAsia" w:ascii="宋体" w:hAnsi="宋体" w:cs="宋体"/>
          <w:color w:val="000000" w:themeColor="text1"/>
          <w:highlight w:val="none"/>
          <w:lang w:eastAsia="zh-CN"/>
          <w14:textFill>
            <w14:solidFill>
              <w14:schemeClr w14:val="tx1"/>
            </w14:solidFill>
          </w14:textFill>
        </w:rPr>
        <w:t xml:space="preserve">采购人无息</w:t>
      </w:r>
      <w:r>
        <w:rPr>
          <w:rFonts w:hint="eastAsia" w:ascii="宋体" w:hAnsi="宋体" w:eastAsia="宋体" w:cs="宋体"/>
          <w:color w:val="000000" w:themeColor="text1"/>
          <w:highlight w:val="none"/>
          <w:lang w:eastAsia="zh-CN"/>
          <w14:textFill>
            <w14:solidFill>
              <w14:schemeClr w14:val="tx1"/>
            </w14:solidFill>
          </w14:textFill>
        </w:rPr>
        <w:t xml:space="preserve">付清合同总价</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0%的余款。</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第八条 违约责任</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1、甲方无正当理由拒绝验收或拒付款的，甲方向乙方偿付合同总价的5%违约金。</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第九条 合同的变更和终止</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第十条 合同的转让</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乙方不得擅自部分或全部转让其应履行的合同义务。</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第十一条 争议的解决</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cs="宋体"/>
          <w:color w:val="000000" w:themeColor="text1"/>
          <w:u w:val="single"/>
          <w:lang w:val="en-US" w:eastAsia="zh-CN"/>
          <w14:textFill>
            <w14:solidFill>
              <w14:schemeClr w14:val="tx1"/>
            </w14:solidFill>
          </w14:textFill>
        </w:rPr>
        <w:t xml:space="preserve">1</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种方式解决争议:</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(1)向甲方所在地有管辖权的人民法院提起诉讼；</w:t>
      </w:r>
      <w:r>
        <w:rPr>
          <w:rFonts w:hint="eastAsia" w:ascii="宋体" w:hAnsi="宋体" w:cs="宋体"/>
          <w:color w:val="000000" w:themeColor="text1"/>
          <w:lang w:eastAsia="zh-CN"/>
          <w14:textFill>
            <w14:solidFill>
              <w14:schemeClr w14:val="tx1"/>
            </w14:solidFill>
          </w14:textFill>
        </w:rPr>
        <w:t xml:space="preserve">因一方违约引起</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诉讼纠纷时所产生的诉讼费、保全费、保全担保费、律师费、公证费、鉴定费、差旅费等费用由违约方承担。</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(2)向南京仲裁委员会按其仲裁规则申请仲裁。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2、在仲裁期间，本合同应继续履行。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第十二条 诚实信用</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乙方应诚实信用，严格按照采购文件要求和承诺履行合同，不向甲方进行商业贿赂或者提供不正当利益。</w:t>
      </w:r>
      <w:r>
        <w:rPr>
          <w:rFonts w:hint="eastAsia"/>
          <w:color w:val="000000" w:themeColor="text1"/>
          <w:lang w:val="en-US" w:eastAsia="zh-CN"/>
          <w14:textFill>
            <w14:solidFill>
              <w14:schemeClr w14:val="tx1"/>
            </w14:solidFill>
          </w14:textFill>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第十三条 合同生效及其他</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1、本合同自签订之日起生效。</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2、乙方须在合同签订后七个工作日内提供本合同所有医疗设备厂家授权书原件供甲方核对。</w:t>
      </w:r>
      <w:r/>
    </w:p>
    <w:p>
      <w:pPr>
        <w:ind w:firstLine="482"/>
        <w:keepLines w:val="0"/>
        <w:keepNext w:val="0"/>
        <w:pageBreakBefore w:val="0"/>
        <w:spacing w:after="0" w:line="420" w:lineRule="exact"/>
        <w:widowControl w:val="off"/>
        <w:rPr>
          <w:rFonts w:hint="eastAsia" w:ascii="宋体" w:hAnsi="宋体" w:eastAsia="宋体" w:cs="宋体"/>
          <w:b w:val="0"/>
          <w:bCs/>
          <w:color w:val="000000" w:themeColor="text1"/>
          <w:sz w:val="24"/>
          <w:szCs w:val="24"/>
          <w:lang w:val="en-US" w:eastAsia="zh-CN" w:bidi="ar-SA"/>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、本合同一式肆份，甲乙双方各执贰份。</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lang w:eastAsia="zh-CN"/>
          <w14:textFill>
            <w14:solidFill>
              <w14:schemeClr w14:val="tx1"/>
            </w14:solidFill>
          </w14:textFill>
        </w:rPr>
        <w:t xml:space="preserve">、本合同应按照中华人民共和国的现行法律进行解释。</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left="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甲方（委托方）：                  乙方:</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（盖章）                        （盖章）</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法定或委托代表人：                法定或委托代表人：</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电话:                             电话:</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开户银行:                         开户银行:</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账号:                             账号:</w:t>
      </w:r>
      <w:r/>
    </w:p>
    <w:p>
      <w:pPr>
        <w:jc w:val="both"/>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附件1</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质保及售后服务承诺书</w:t>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致</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b/>
          <w:color w:val="000000" w:themeColor="text1"/>
          <w14:textFill>
            <w14:solidFill>
              <w14:schemeClr w14:val="tx1"/>
            </w14:solidFill>
          </w14:textFill>
        </w:rPr>
        <w:t xml:space="preserve">（招标人）：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我公司是</w:t>
      </w:r>
      <w:r>
        <w:rPr>
          <w:rFonts w:hint="eastAsia" w:ascii="宋体" w:hAnsi="宋体" w:eastAsia="宋体" w:cs="宋体"/>
          <w:color w:val="000000" w:themeColor="text1"/>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14:textFill>
            <w14:solidFill>
              <w14:schemeClr w14:val="tx1"/>
            </w14:solidFill>
          </w14:textFill>
        </w:rPr>
        <w:t xml:space="preserve">的生产厂家，本次由合作方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公司参与该采购项目的投标，招标文件要求</w:t>
      </w:r>
      <w:r>
        <w:rPr>
          <w:rFonts w:hint="eastAsia" w:ascii="宋体" w:hAnsi="宋体" w:eastAsia="宋体" w:cs="宋体"/>
          <w:color w:val="000000" w:themeColor="text1"/>
          <w:u w:val="single"/>
          <w:lang w:val="en-US" w:eastAsia="zh-CN"/>
          <w14:textFill>
            <w14:solidFill>
              <w14:schemeClr w14:val="tx1"/>
            </w14:solidFill>
          </w14:textFill>
        </w:rPr>
        <w:t xml:space="preserve">xxx设备</w:t>
      </w:r>
      <w:r>
        <w:rPr>
          <w:rFonts w:hint="eastAsia" w:ascii="宋体" w:hAnsi="宋体" w:eastAsia="宋体" w:cs="宋体"/>
          <w:color w:val="000000" w:themeColor="text1"/>
          <w14:textFill>
            <w14:solidFill>
              <w14:schemeClr w14:val="tx1"/>
            </w14:solidFill>
          </w14:textFill>
        </w:rPr>
        <w:t xml:space="preserve">质保期为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如合作方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lang w:val="en-US" w:eastAsia="zh-CN"/>
          <w14:textFill>
            <w14:solidFill>
              <w14:schemeClr w14:val="tx1"/>
            </w14:solidFill>
          </w14:textFill>
        </w:rPr>
        <w:t xml:space="preserve">但不仅限于</w:t>
      </w:r>
      <w:r>
        <w:rPr>
          <w:rFonts w:hint="eastAsia" w:ascii="宋体" w:hAnsi="宋体" w:eastAsia="宋体" w:cs="宋体"/>
          <w:color w:val="000000" w:themeColor="text1"/>
          <w14:textFill>
            <w14:solidFill>
              <w14:schemeClr w14:val="tx1"/>
            </w14:solidFill>
          </w14:textFill>
        </w:rPr>
        <w:t xml:space="preserve">以下内容：</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项目</w:t>
      </w:r>
      <w:r>
        <w:rPr>
          <w:rFonts w:hint="eastAsia" w:ascii="宋体" w:hAnsi="宋体" w:eastAsia="宋体" w:cs="宋体"/>
          <w:color w:val="000000" w:themeColor="text1"/>
          <w14:textFill>
            <w14:solidFill>
              <w14:schemeClr w14:val="tx1"/>
            </w14:solidFill>
          </w14:textFill>
        </w:rPr>
        <w:t xml:space="preserve">后期运维管理服务；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特此承诺！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7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生产厂家：（盖章）</w:t>
      </w:r>
      <w:r/>
    </w:p>
    <w:p>
      <w:pPr>
        <w:pStyle w:val="892"/>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p>
    <w:p>
      <w:pPr>
        <w:pStyle w:val="892"/>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年  月  日</w:t>
      </w:r>
      <w:r/>
    </w:p>
    <w:p>
      <w:pPr>
        <w:ind w:firstLine="562"/>
        <w:jc w:val="center"/>
        <w:spacing w:before="67"/>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t xml:space="preserve">医疗产品购销廉洁条例</w:t>
      </w:r>
      <w:r/>
    </w:p>
    <w:p>
      <w:pPr>
        <w:pStyle w:val="892"/>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1.合同双方按照《中华人民共和国民法典》及购销廉洁条例约定购销设备和服务等行为。</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2.甲方应当严格执行采购和服务合同验收、入库制度，对采购产品及发票进行查验，不得违反有关规定合同外采购、违价采购或从非规定渠道采购。</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4.甲方严禁利用任何途径和方式，为乙方个人提供便利。</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5.乙方不得以回扣、宴请等方式影响甲方工作人员采购或使用产品的选择权，不得在为甲方人员提供旅游、超标准支付食宿费用。</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6.乙方指定人员必须在工作时间到甲方指定地点联系商谈，不得借故到甲方相关领导、部门负责人及相关工作人员家中访谈并提供任何好处费等。</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7.乙方如违反本廉洁条例，一经发现，甲方有权立即终止购销合同，并向上级主管部门或本级纪检部门报告。如乙方被列入商业贿赂不良记录，则严格按照国家相关规定处理。</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8.本廉洁条例为甲方产品和服务购销行为的廉洁准则，双方均需严格遵守。</w:t>
      </w:r>
      <w:r/>
    </w:p>
    <w:p>
      <w:pPr>
        <w:ind w:firstLine="44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9.本条例由甲方负责解释。</w:t>
      </w:r>
      <w:r/>
    </w:p>
    <w:p>
      <w:pPr>
        <w:pStyle w:val="906"/>
        <w:ind w:left="132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供应商名称（盖章）：</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                                                法定代表人（签字）：</w:t>
      </w:r>
      <w:r/>
    </w:p>
    <w:p>
      <w:pPr>
        <w:pStyle w:val="906"/>
        <w:ind w:left="1320" w:right="960" w:firstLine="4080"/>
        <w:spacing w:line="360" w:lineRule="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20    年    月   日</w:t>
      </w:r>
      <w:r/>
    </w:p>
    <w:p>
      <w:pPr>
        <w:pStyle w:val="6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百家湖社区卫生服务中心采购医用内窥镜及消毒清洗设备一批（</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包1或包2</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（包1）</w:t>
      </w:r>
      <w:r/>
    </w:p>
    <w:tbl>
      <w:tblPr>
        <w:tblStyle w:val="685"/>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992"/>
        <w:gridCol w:w="1273"/>
        <w:gridCol w:w="982"/>
        <w:gridCol w:w="94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图像处理器</w:t>
            </w: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电子上消化道内窥镜（治疗）</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电子上消化道内窥镜（检查）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电子下消化道内窥镜</w:t>
            </w: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685"/>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医用监视器</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专用台车</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（包2）</w:t>
      </w:r>
      <w:r/>
    </w:p>
    <w:tbl>
      <w:tblPr>
        <w:tblStyle w:val="685"/>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内窥镜用二氧化碳供气装置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内窥镜送水装置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全自动软式内镜清洗消毒器（双缸）</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内镜清洗工作站</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内镜储镜柜</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纯水机</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紫外线消毒柜</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2</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897"/>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5"/>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7"/>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7"/>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5"/>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97"/>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7"/>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公司参与该采购项目的投标，招标文件要求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7"/>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7"/>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1"/>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6"/>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6"/>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1"/>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1"/>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11"/>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11"/>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3"/>
        <w:ind w:firstLine="426"/>
        <w:jc w:val="left"/>
        <w:spacing w:befor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Fonts w:hint="eastAsia" w:ascii="宋体" w:hAnsi="宋体" w:cs="宋体"/>
          <w:b/>
          <w:bCs/>
          <w:color w:val="000000" w:themeColor="text1"/>
          <w:sz w:val="24"/>
          <w:szCs w:val="24"/>
          <w:highlight w:val="none"/>
          <w14:textFill>
            <w14:solidFill>
              <w14:schemeClr w14:val="tx1"/>
            </w14:solidFill>
          </w14:textFill>
        </w:rPr>
        <w:t xml:space="preserve">《南京市政府采购供应商信用记录表暨信用承诺书》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w:t>
      </w:r>
      <w:r>
        <w:rPr>
          <w:rFonts w:hint="eastAsia" w:ascii="宋体" w:hAnsi="宋体" w:cs="宋体"/>
          <w:b/>
          <w:bCs/>
          <w:color w:val="000000" w:themeColor="text1"/>
          <w:highlight w:val="none"/>
          <w:lang w:val="en-US" w:eastAsia="zh-CN"/>
          <w14:textFill>
            <w14:solidFill>
              <w14:schemeClr w14:val="tx1"/>
            </w14:solidFill>
          </w14:textFill>
        </w:rPr>
        <w:t xml:space="preserve">打印时间为本招标公告发布之日起至递交投标文件截止日前，</w:t>
      </w:r>
      <w:r>
        <w:rPr>
          <w:rFonts w:hint="eastAsia" w:ascii="宋体" w:hAnsi="宋体" w:cs="宋体"/>
          <w:b/>
          <w:bCs/>
          <w:color w:val="000000" w:themeColor="text1"/>
          <w:highlight w:val="none"/>
          <w14:textFill>
            <w14:solidFill>
              <w14:schemeClr w14:val="tx1"/>
            </w14:solidFill>
          </w14:textFill>
        </w:rPr>
        <w:t xml:space="preserve">在线打印其“南京市政府采购供应商信用记录表暨信用承诺书”，经法定代表人签字、加盖单位公章后作为响应文件的组成部分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未按上述要求提供的，投标文件作废标处理</w:t>
      </w:r>
      <w:r>
        <w:rPr>
          <w:rFonts w:hint="eastAsia" w:ascii="宋体" w:hAnsi="宋体" w:cs="宋体"/>
          <w:b/>
          <w:bCs/>
          <w:color w:val="000000" w:themeColor="text1"/>
          <w:highlight w:val="none"/>
          <w14:textFill>
            <w14:solidFill>
              <w14:schemeClr w14:val="tx1"/>
            </w14:solidFill>
          </w14:textFill>
        </w:rPr>
        <w:t xml:space="preserve">）</w:t>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cente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bl>
      <w:tblPr>
        <w:tblStyle w:val="6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统一社会信用代码</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联系人</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联系电话</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信用承诺</w:t>
            </w:r>
            <w:r/>
          </w:p>
        </w:tc>
        <w:tc>
          <w:tcPr>
            <w:gridSpan w:val="3"/>
            <w:tcW w:w="8034" w:type="dxa"/>
            <w:vAlign w:val="top"/>
            <w:textDirection w:val="lrTb"/>
            <w:noWrap w:val="false"/>
          </w:tcPr>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我公司自愿参加江苏东佳工程项目管理咨询有限公司组织的本次采购活动，严格遵守《中华人民共和国</w:t>
            </w: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政府采购法</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供应商名称（盖章）：</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法定代表人（签字）：</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w:t>
      </w:r>
      <w:r>
        <w:rPr>
          <w:rFonts w:hint="eastAsia" w:ascii="宋体" w:hAnsi="宋体" w:cs="宋体"/>
          <w:bCs/>
          <w:color w:val="000000" w:themeColor="text1"/>
          <w:highlight w:val="none"/>
          <w:lang w:eastAsia="zh-CN"/>
          <w14:textFill>
            <w14:solidFill>
              <w14:schemeClr w14:val="tx1"/>
            </w14:solidFill>
          </w14:textFill>
        </w:rPr>
        <w:t xml:space="preserve">字加</w:t>
      </w:r>
      <w:r>
        <w:rPr>
          <w:rFonts w:hint="eastAsia" w:ascii="宋体" w:hAnsi="宋体" w:cs="宋体"/>
          <w:bCs/>
          <w:color w:val="000000" w:themeColor="text1"/>
          <w:highlight w:val="none"/>
          <w14:textFill>
            <w14:solidFill>
              <w14:schemeClr w14:val="tx1"/>
            </w14:solidFill>
          </w14:textFill>
        </w:rPr>
        <w:t xml:space="preserve">盖</w:t>
      </w:r>
      <w:r>
        <w:rPr>
          <w:rFonts w:hint="eastAsia" w:ascii="宋体" w:hAnsi="宋体" w:cs="宋体"/>
          <w:bCs/>
          <w:color w:val="000000" w:themeColor="text1"/>
          <w:highlight w:val="none"/>
          <w:lang w:eastAsia="zh-CN"/>
          <w14:textFill>
            <w14:solidFill>
              <w14:schemeClr w14:val="tx1"/>
            </w14:solidFill>
          </w14:textFill>
        </w:rPr>
        <w:t xml:space="preserve">单位公</w:t>
      </w:r>
      <w:r>
        <w:rPr>
          <w:rFonts w:hint="eastAsia" w:ascii="宋体" w:hAnsi="宋体" w:cs="宋体"/>
          <w:bCs/>
          <w:color w:val="000000" w:themeColor="text1"/>
          <w:highlight w:val="none"/>
          <w14:textFill>
            <w14:solidFill>
              <w14:schemeClr w14:val="tx1"/>
            </w14:solidFill>
          </w14:textFill>
        </w:rPr>
        <w:t xml:space="preserve">章后作为响应文件的组成部分</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“南京市政府采购供应商信用记录表暨信用承诺书”是其参加本次政府采购活动的必备材料。</w:t>
      </w:r>
      <w:r/>
    </w:p>
    <w:p>
      <w:pPr>
        <w:pStyle w:val="904"/>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1"/>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7"/>
  </w:num>
  <w:num w:numId="4">
    <w:abstractNumId w:val="6"/>
  </w:num>
  <w:num w:numId="5">
    <w:abstractNumId w:val="0"/>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5">
    <w:name w:val="Heading 1"/>
    <w:basedOn w:val="674"/>
    <w:next w:val="674"/>
    <w:link w:val="873"/>
    <w:uiPriority w:val="9"/>
    <w:qFormat/>
    <w:pPr>
      <w:jc w:val="center"/>
      <w:keepLines/>
      <w:keepNext/>
      <w:spacing w:before="340" w:after="330"/>
      <w:outlineLvl w:val="0"/>
    </w:pPr>
    <w:rPr>
      <w:b/>
      <w:bCs/>
      <w:sz w:val="36"/>
      <w:szCs w:val="44"/>
    </w:rPr>
  </w:style>
  <w:style w:type="paragraph" w:styleId="676">
    <w:name w:val="Heading 2"/>
    <w:basedOn w:val="674"/>
    <w:next w:val="674"/>
    <w:link w:val="722"/>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880"/>
    <w:uiPriority w:val="9"/>
    <w:semiHidden/>
    <w:unhideWhenUsed/>
    <w:qFormat/>
    <w:pPr>
      <w:keepLines/>
      <w:keepNext/>
      <w:spacing w:before="260" w:after="260" w:line="416" w:lineRule="auto"/>
      <w:outlineLvl w:val="2"/>
    </w:pPr>
    <w:rPr>
      <w:b/>
      <w:bCs/>
      <w:sz w:val="32"/>
      <w:szCs w:val="32"/>
    </w:rPr>
  </w:style>
  <w:style w:type="paragraph" w:styleId="678">
    <w:name w:val="Heading 4"/>
    <w:basedOn w:val="674"/>
    <w:next w:val="674"/>
    <w:link w:val="87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725"/>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6"/>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8"/>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9"/>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Normal Indent"/>
    <w:basedOn w:val="674"/>
    <w:link w:val="874"/>
    <w:uiPriority w:val="0"/>
    <w:unhideWhenUsed/>
    <w:qFormat/>
    <w:pPr>
      <w:ind w:firstLine="420"/>
    </w:p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annotation text"/>
    <w:basedOn w:val="674"/>
    <w:link w:val="890"/>
    <w:uiPriority w:val="99"/>
    <w:semiHidden/>
    <w:unhideWhenUsed/>
    <w:qFormat/>
  </w:style>
  <w:style w:type="paragraph" w:styleId="690">
    <w:name w:val="Body Text"/>
    <w:basedOn w:val="674"/>
    <w:next w:val="674"/>
    <w:link w:val="881"/>
    <w:uiPriority w:val="1"/>
    <w:qFormat/>
    <w:pPr>
      <w:spacing w:line="240" w:lineRule="auto"/>
    </w:pPr>
    <w:rPr>
      <w:rFonts w:ascii="宋体" w:hAnsi="宋体" w:cs="宋体"/>
      <w:sz w:val="21"/>
      <w:szCs w:val="21"/>
      <w:lang w:val="zh-CN" w:bidi="zh-CN"/>
    </w:rPr>
  </w:style>
  <w:style w:type="paragraph" w:styleId="691">
    <w:name w:val="Body Text Indent"/>
    <w:basedOn w:val="674"/>
    <w:next w:val="692"/>
    <w:uiPriority w:val="0"/>
    <w:qFormat/>
    <w:pPr>
      <w:ind w:left="420" w:firstLine="1188"/>
      <w:spacing w:line="360" w:lineRule="exact"/>
    </w:pPr>
    <w:rPr>
      <w:rFonts w:ascii="Times New Roman" w:hAnsi="Times New Roman" w:cs="Times New Roman"/>
    </w:rPr>
  </w:style>
  <w:style w:type="paragraph" w:styleId="692">
    <w:name w:val="envelope return"/>
    <w:basedOn w:val="674"/>
    <w:uiPriority w:val="0"/>
    <w:qFormat/>
    <w:rPr>
      <w:rFonts w:ascii="Arial" w:hAnsi="Arial" w:cs="宋体"/>
    </w:rPr>
  </w:style>
  <w:style w:type="paragraph" w:styleId="693">
    <w:name w:val="List Bullet 2"/>
    <w:basedOn w:val="674"/>
    <w:uiPriority w:val="0"/>
    <w:qFormat/>
    <w:pPr>
      <w:numPr>
        <w:ilvl w:val="0"/>
        <w:numId w:val="1"/>
      </w:numPr>
      <w:spacing w:line="240" w:lineRule="auto"/>
    </w:pPr>
    <w:rPr>
      <w:rFonts w:ascii="宋体" w:hAnsi="宋体" w:cs="宋体"/>
      <w:sz w:val="22"/>
      <w:szCs w:val="22"/>
      <w:lang w:val="zh-CN" w:bidi="zh-CN"/>
    </w:rPr>
  </w:style>
  <w:style w:type="paragraph" w:styleId="694">
    <w:name w:val="index 4"/>
    <w:basedOn w:val="674"/>
    <w:next w:val="674"/>
    <w:uiPriority w:val="0"/>
    <w:semiHidden/>
    <w:qFormat/>
    <w:pPr>
      <w:ind w:left="1260"/>
      <w:spacing w:line="240" w:lineRule="auto"/>
    </w:pPr>
    <w:rPr>
      <w:rFonts w:ascii="宋体" w:hAnsi="宋体" w:cs="宋体"/>
      <w:sz w:val="22"/>
      <w:szCs w:val="22"/>
      <w:lang w:val="zh-CN" w:bidi="zh-CN"/>
    </w:rPr>
  </w:style>
  <w:style w:type="paragraph" w:styleId="695">
    <w:name w:val="toc 5"/>
    <w:basedOn w:val="674"/>
    <w:next w:val="674"/>
    <w:uiPriority w:val="39"/>
    <w:unhideWhenUsed/>
    <w:qFormat/>
    <w:pPr>
      <w:ind w:left="1134" w:right="0" w:firstLine="0"/>
      <w:spacing w:after="57"/>
    </w:pPr>
  </w:style>
  <w:style w:type="paragraph" w:styleId="696">
    <w:name w:val="toc 3"/>
    <w:basedOn w:val="674"/>
    <w:next w:val="674"/>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7">
    <w:name w:val="Plain Text"/>
    <w:basedOn w:val="674"/>
    <w:next w:val="690"/>
    <w:link w:val="872"/>
    <w:uiPriority w:val="0"/>
    <w:unhideWhenUsed/>
    <w:qFormat/>
    <w:rPr>
      <w:rFonts w:ascii="宋体" w:hAnsi="Courier New" w:cs="Courier New"/>
      <w:szCs w:val="21"/>
    </w:rPr>
  </w:style>
  <w:style w:type="paragraph" w:styleId="698">
    <w:name w:val="toc 8"/>
    <w:basedOn w:val="674"/>
    <w:next w:val="674"/>
    <w:uiPriority w:val="39"/>
    <w:unhideWhenUsed/>
    <w:qFormat/>
    <w:pPr>
      <w:ind w:left="1984" w:right="0" w:firstLine="0"/>
      <w:spacing w:after="57"/>
    </w:pPr>
  </w:style>
  <w:style w:type="paragraph" w:styleId="699">
    <w:name w:val="endnote text"/>
    <w:basedOn w:val="674"/>
    <w:link w:val="867"/>
    <w:uiPriority w:val="99"/>
    <w:semiHidden/>
    <w:unhideWhenUsed/>
    <w:qFormat/>
    <w:pPr>
      <w:spacing w:after="0" w:line="240" w:lineRule="auto"/>
    </w:pPr>
    <w:rPr>
      <w:sz w:val="20"/>
    </w:rPr>
  </w:style>
  <w:style w:type="paragraph" w:styleId="700">
    <w:name w:val="Balloon Text"/>
    <w:basedOn w:val="674"/>
    <w:link w:val="889"/>
    <w:uiPriority w:val="99"/>
    <w:semiHidden/>
    <w:unhideWhenUsed/>
    <w:qFormat/>
    <w:pPr>
      <w:spacing w:line="240" w:lineRule="auto"/>
    </w:pPr>
    <w:rPr>
      <w:sz w:val="18"/>
      <w:szCs w:val="18"/>
    </w:rPr>
  </w:style>
  <w:style w:type="paragraph" w:styleId="701">
    <w:name w:val="Footer"/>
    <w:basedOn w:val="674"/>
    <w:link w:val="870"/>
    <w:uiPriority w:val="99"/>
    <w:unhideWhenUsed/>
    <w:qFormat/>
    <w:pPr>
      <w:tabs>
        <w:tab w:val="center" w:pos="4153" w:leader="none"/>
        <w:tab w:val="right" w:pos="8306" w:leader="none"/>
      </w:tabs>
    </w:pPr>
    <w:rPr>
      <w:sz w:val="18"/>
      <w:szCs w:val="18"/>
    </w:rPr>
  </w:style>
  <w:style w:type="paragraph" w:styleId="702">
    <w:name w:val="Header"/>
    <w:basedOn w:val="674"/>
    <w:link w:val="8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3">
    <w:name w:val="toc 1"/>
    <w:basedOn w:val="674"/>
    <w:next w:val="674"/>
    <w:uiPriority w:val="39"/>
    <w:unhideWhenUsed/>
    <w:qFormat/>
    <w:pPr>
      <w:spacing w:line="720" w:lineRule="auto"/>
      <w:tabs>
        <w:tab w:val="right" w:pos="9639" w:leader="dot"/>
      </w:tabs>
    </w:pPr>
  </w:style>
  <w:style w:type="paragraph" w:styleId="704">
    <w:name w:val="toc 4"/>
    <w:basedOn w:val="674"/>
    <w:next w:val="674"/>
    <w:uiPriority w:val="39"/>
    <w:unhideWhenUsed/>
    <w:qFormat/>
    <w:pPr>
      <w:ind w:left="850" w:right="0" w:firstLine="0"/>
      <w:spacing w:after="57"/>
    </w:pPr>
  </w:style>
  <w:style w:type="paragraph" w:styleId="705">
    <w:name w:val="Subtitle"/>
    <w:basedOn w:val="674"/>
    <w:next w:val="674"/>
    <w:link w:val="733"/>
    <w:uiPriority w:val="11"/>
    <w:qFormat/>
    <w:pPr>
      <w:spacing w:before="200" w:after="200"/>
    </w:pPr>
    <w:rPr>
      <w:sz w:val="24"/>
      <w:szCs w:val="24"/>
    </w:rPr>
  </w:style>
  <w:style w:type="paragraph" w:styleId="706">
    <w:name w:val="footnote text"/>
    <w:basedOn w:val="674"/>
    <w:link w:val="866"/>
    <w:uiPriority w:val="99"/>
    <w:semiHidden/>
    <w:unhideWhenUsed/>
    <w:qFormat/>
    <w:pPr>
      <w:spacing w:after="40" w:line="240" w:lineRule="auto"/>
    </w:pPr>
    <w:rPr>
      <w:sz w:val="18"/>
    </w:rPr>
  </w:style>
  <w:style w:type="paragraph" w:styleId="707">
    <w:name w:val="toc 6"/>
    <w:basedOn w:val="674"/>
    <w:next w:val="674"/>
    <w:uiPriority w:val="39"/>
    <w:unhideWhenUsed/>
    <w:qFormat/>
    <w:pPr>
      <w:ind w:left="1417" w:right="0" w:firstLine="0"/>
      <w:spacing w:after="57"/>
    </w:pPr>
  </w:style>
  <w:style w:type="paragraph" w:styleId="708">
    <w:name w:val="table of figures"/>
    <w:basedOn w:val="674"/>
    <w:next w:val="674"/>
    <w:uiPriority w:val="99"/>
    <w:unhideWhenUsed/>
    <w:qFormat/>
    <w:pPr>
      <w:spacing w:after="0" w:afterAutospacing="0"/>
    </w:pPr>
  </w:style>
  <w:style w:type="paragraph" w:styleId="709">
    <w:name w:val="toc 2"/>
    <w:basedOn w:val="674"/>
    <w:next w:val="674"/>
    <w:uiPriority w:val="39"/>
    <w:unhideWhenUsed/>
    <w:qFormat/>
    <w:pPr>
      <w:ind w:left="283" w:right="0" w:firstLine="0"/>
      <w:spacing w:after="57"/>
    </w:pPr>
  </w:style>
  <w:style w:type="paragraph" w:styleId="710">
    <w:name w:val="toc 9"/>
    <w:basedOn w:val="674"/>
    <w:next w:val="674"/>
    <w:uiPriority w:val="39"/>
    <w:unhideWhenUsed/>
    <w:qFormat/>
    <w:pPr>
      <w:ind w:left="2268" w:right="0" w:firstLine="0"/>
      <w:spacing w:after="57"/>
    </w:pPr>
  </w:style>
  <w:style w:type="paragraph" w:styleId="711">
    <w:name w:val="Normal (Web)"/>
    <w:basedOn w:val="674"/>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2">
    <w:name w:val="Title"/>
    <w:basedOn w:val="674"/>
    <w:next w:val="674"/>
    <w:link w:val="732"/>
    <w:uiPriority w:val="10"/>
    <w:qFormat/>
    <w:pPr>
      <w:contextualSpacing/>
      <w:spacing w:before="300" w:after="200"/>
    </w:pPr>
    <w:rPr>
      <w:sz w:val="48"/>
      <w:szCs w:val="48"/>
    </w:rPr>
  </w:style>
  <w:style w:type="paragraph" w:styleId="713">
    <w:name w:val="Body Text First Indent 2"/>
    <w:basedOn w:val="691"/>
    <w:next w:val="674"/>
    <w:uiPriority w:val="0"/>
    <w:qFormat/>
    <w:pPr>
      <w:ind w:left="0" w:firstLine="420"/>
      <w:spacing w:after="0" w:line="360" w:lineRule="auto"/>
    </w:pPr>
    <w:rPr>
      <w:rFonts w:ascii="宋体" w:hAnsi="宋体"/>
      <w:sz w:val="20"/>
      <w:szCs w:val="20"/>
      <w:lang w:eastAsia="en-US"/>
    </w:rPr>
  </w:style>
  <w:style w:type="table" w:styleId="714">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basedOn w:val="684"/>
    <w:uiPriority w:val="99"/>
    <w:semiHidden/>
    <w:unhideWhenUsed/>
    <w:qFormat/>
    <w:rPr>
      <w:vertAlign w:val="superscript"/>
    </w:rPr>
  </w:style>
  <w:style w:type="character" w:styleId="716">
    <w:name w:val="Emphasis"/>
    <w:uiPriority w:val="0"/>
    <w:qFormat/>
    <w:rPr>
      <w:i/>
    </w:rPr>
  </w:style>
  <w:style w:type="character" w:styleId="717">
    <w:name w:val="Hyperlink"/>
    <w:basedOn w:val="684"/>
    <w:uiPriority w:val="99"/>
    <w:unhideWhenUsed/>
    <w:qFormat/>
    <w:rPr>
      <w:color w:val="0000ff" w:themeColor="hyperlink"/>
      <w:u w:val="single"/>
      <w14:textFill>
        <w14:solidFill>
          <w14:schemeClr w14:val="hlink"/>
        </w14:solidFill>
      </w14:textFill>
    </w:rPr>
  </w:style>
  <w:style w:type="character" w:styleId="718">
    <w:name w:val="annotation reference"/>
    <w:basedOn w:val="684"/>
    <w:uiPriority w:val="99"/>
    <w:semiHidden/>
    <w:unhideWhenUsed/>
    <w:qFormat/>
    <w:rPr>
      <w:sz w:val="21"/>
      <w:szCs w:val="21"/>
    </w:rPr>
  </w:style>
  <w:style w:type="character" w:styleId="719">
    <w:name w:val="footnote reference"/>
    <w:basedOn w:val="684"/>
    <w:uiPriority w:val="99"/>
    <w:unhideWhenUsed/>
    <w:qFormat/>
    <w:rPr>
      <w:vertAlign w:val="superscript"/>
    </w:rPr>
  </w:style>
  <w:style w:type="paragraph" w:styleId="720" w:customStyle="1">
    <w:name w:val="Default"/>
    <w:basedOn w:val="697"/>
    <w:next w:val="697"/>
    <w:uiPriority w:val="0"/>
    <w:qFormat/>
    <w:pPr>
      <w:spacing w:after="0" w:line="240" w:lineRule="auto"/>
    </w:pPr>
    <w:rPr>
      <w:rFonts w:ascii=".." w:hAnsi="Calibri" w:eastAsia=".." w:cs=".."/>
      <w:color w:val="000000"/>
      <w:sz w:val="24"/>
      <w:szCs w:val="24"/>
      <w:lang w:val="en-US" w:eastAsia="zh-CN" w:bidi="ar-SA"/>
    </w:rPr>
  </w:style>
  <w:style w:type="character" w:styleId="721" w:customStyle="1">
    <w:name w:val="Heading 1 Char"/>
    <w:basedOn w:val="684"/>
    <w:uiPriority w:val="9"/>
    <w:qFormat/>
    <w:rPr>
      <w:rFonts w:ascii="Arial" w:hAnsi="Arial" w:eastAsia="Arial" w:cs="Arial"/>
      <w:sz w:val="40"/>
      <w:szCs w:val="40"/>
    </w:rPr>
  </w:style>
  <w:style w:type="character" w:styleId="722" w:customStyle="1">
    <w:name w:val="Heading 2 Char"/>
    <w:basedOn w:val="684"/>
    <w:link w:val="676"/>
    <w:uiPriority w:val="9"/>
    <w:qFormat/>
    <w:rPr>
      <w:rFonts w:ascii="Arial" w:hAnsi="Arial" w:eastAsia="Arial" w:cs="Arial"/>
      <w:sz w:val="34"/>
    </w:rPr>
  </w:style>
  <w:style w:type="character" w:styleId="723" w:customStyle="1">
    <w:name w:val="Heading 3 Char"/>
    <w:basedOn w:val="684"/>
    <w:uiPriority w:val="9"/>
    <w:qFormat/>
    <w:rPr>
      <w:rFonts w:ascii="Arial" w:hAnsi="Arial" w:eastAsia="Arial" w:cs="Arial"/>
      <w:sz w:val="30"/>
      <w:szCs w:val="30"/>
    </w:rPr>
  </w:style>
  <w:style w:type="character" w:styleId="724" w:customStyle="1">
    <w:name w:val="Heading 4 Char"/>
    <w:basedOn w:val="684"/>
    <w:uiPriority w:val="9"/>
    <w:qFormat/>
    <w:rPr>
      <w:rFonts w:ascii="Arial" w:hAnsi="Arial" w:eastAsia="Arial" w:cs="Arial"/>
      <w:b/>
      <w:bCs/>
      <w:sz w:val="26"/>
      <w:szCs w:val="26"/>
    </w:rPr>
  </w:style>
  <w:style w:type="character" w:styleId="725" w:customStyle="1">
    <w:name w:val="Heading 5 Char"/>
    <w:basedOn w:val="684"/>
    <w:link w:val="679"/>
    <w:uiPriority w:val="9"/>
    <w:qFormat/>
    <w:rPr>
      <w:rFonts w:ascii="Arial" w:hAnsi="Arial" w:eastAsia="Arial" w:cs="Arial"/>
      <w:b/>
      <w:bCs/>
      <w:sz w:val="24"/>
      <w:szCs w:val="24"/>
    </w:rPr>
  </w:style>
  <w:style w:type="character" w:styleId="726" w:customStyle="1">
    <w:name w:val="Heading 6 Char"/>
    <w:basedOn w:val="684"/>
    <w:link w:val="680"/>
    <w:uiPriority w:val="9"/>
    <w:qFormat/>
    <w:rPr>
      <w:rFonts w:ascii="Arial" w:hAnsi="Arial" w:eastAsia="Arial" w:cs="Arial"/>
      <w:b/>
      <w:bCs/>
      <w:sz w:val="22"/>
      <w:szCs w:val="22"/>
    </w:rPr>
  </w:style>
  <w:style w:type="character" w:styleId="727" w:customStyle="1">
    <w:name w:val="Heading 7 Char"/>
    <w:basedOn w:val="684"/>
    <w:link w:val="681"/>
    <w:uiPriority w:val="9"/>
    <w:qFormat/>
    <w:rPr>
      <w:rFonts w:ascii="Arial" w:hAnsi="Arial" w:eastAsia="Arial" w:cs="Arial"/>
      <w:b/>
      <w:bCs/>
      <w:i/>
      <w:iCs/>
      <w:sz w:val="22"/>
      <w:szCs w:val="22"/>
    </w:rPr>
  </w:style>
  <w:style w:type="character" w:styleId="728" w:customStyle="1">
    <w:name w:val="Heading 8 Char"/>
    <w:basedOn w:val="684"/>
    <w:link w:val="682"/>
    <w:uiPriority w:val="9"/>
    <w:qFormat/>
    <w:rPr>
      <w:rFonts w:ascii="Arial" w:hAnsi="Arial" w:eastAsia="Arial" w:cs="Arial"/>
      <w:i/>
      <w:iCs/>
      <w:sz w:val="22"/>
      <w:szCs w:val="22"/>
    </w:rPr>
  </w:style>
  <w:style w:type="character" w:styleId="729" w:customStyle="1">
    <w:name w:val="Heading 9 Char"/>
    <w:basedOn w:val="684"/>
    <w:link w:val="683"/>
    <w:uiPriority w:val="9"/>
    <w:qFormat/>
    <w:rPr>
      <w:rFonts w:ascii="Arial" w:hAnsi="Arial" w:eastAsia="Arial" w:cs="Arial"/>
      <w:i/>
      <w:iCs/>
      <w:sz w:val="21"/>
      <w:szCs w:val="21"/>
    </w:rPr>
  </w:style>
  <w:style w:type="paragraph" w:styleId="730">
    <w:name w:val="List Paragraph"/>
    <w:basedOn w:val="674"/>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basedOn w:val="684"/>
    <w:link w:val="712"/>
    <w:uiPriority w:val="10"/>
    <w:qFormat/>
    <w:rPr>
      <w:sz w:val="48"/>
      <w:szCs w:val="48"/>
    </w:rPr>
  </w:style>
  <w:style w:type="character" w:styleId="733" w:customStyle="1">
    <w:name w:val="Subtitle Char"/>
    <w:basedOn w:val="684"/>
    <w:link w:val="705"/>
    <w:uiPriority w:val="11"/>
    <w:qFormat/>
    <w:rPr>
      <w:sz w:val="24"/>
      <w:szCs w:val="24"/>
    </w:rPr>
  </w:style>
  <w:style w:type="paragraph" w:styleId="734">
    <w:name w:val="Quote"/>
    <w:basedOn w:val="674"/>
    <w:next w:val="674"/>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74"/>
    <w:next w:val="6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basedOn w:val="684"/>
    <w:uiPriority w:val="99"/>
    <w:qFormat/>
  </w:style>
  <w:style w:type="character" w:styleId="739" w:customStyle="1">
    <w:name w:val="Footer Char"/>
    <w:basedOn w:val="684"/>
    <w:uiPriority w:val="99"/>
    <w:qFormat/>
  </w:style>
  <w:style w:type="character" w:styleId="740" w:customStyle="1">
    <w:name w:val="Caption Char"/>
    <w:uiPriority w:val="99"/>
    <w:qFormat/>
  </w:style>
  <w:style w:type="table" w:styleId="741"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06"/>
    <w:uiPriority w:val="99"/>
    <w:qFormat/>
    <w:rPr>
      <w:sz w:val="18"/>
    </w:rPr>
  </w:style>
  <w:style w:type="character" w:styleId="867" w:customStyle="1">
    <w:name w:val="Endnote Text Char"/>
    <w:link w:val="699"/>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页眉 Char"/>
    <w:basedOn w:val="684"/>
    <w:link w:val="702"/>
    <w:uiPriority w:val="99"/>
    <w:semiHidden/>
    <w:qFormat/>
    <w:rPr>
      <w:sz w:val="18"/>
      <w:szCs w:val="18"/>
    </w:rPr>
  </w:style>
  <w:style w:type="character" w:styleId="870" w:customStyle="1">
    <w:name w:val="页脚 Char"/>
    <w:basedOn w:val="684"/>
    <w:link w:val="701"/>
    <w:uiPriority w:val="99"/>
    <w:qFormat/>
    <w:rPr>
      <w:sz w:val="18"/>
      <w:szCs w:val="18"/>
    </w:rPr>
  </w:style>
  <w:style w:type="character" w:styleId="871" w:customStyle="1">
    <w:name w:val="纯文本 Char"/>
    <w:basedOn w:val="684"/>
    <w:link w:val="697"/>
    <w:uiPriority w:val="99"/>
    <w:semiHidden/>
    <w:qFormat/>
    <w:rPr>
      <w:rFonts w:ascii="宋体" w:hAnsi="Courier New" w:eastAsia="宋体" w:cs="Courier New"/>
      <w:szCs w:val="21"/>
    </w:rPr>
  </w:style>
  <w:style w:type="character" w:styleId="872" w:customStyle="1">
    <w:name w:val="纯文本 Char1"/>
    <w:link w:val="697"/>
    <w:uiPriority w:val="99"/>
    <w:semiHidden/>
    <w:qFormat/>
    <w:rPr>
      <w:rFonts w:ascii="宋体" w:hAnsi="Courier New" w:eastAsia="宋体" w:cs="Courier New"/>
      <w:szCs w:val="21"/>
    </w:rPr>
  </w:style>
  <w:style w:type="character" w:styleId="873" w:customStyle="1">
    <w:name w:val="标题 1 Char"/>
    <w:basedOn w:val="684"/>
    <w:link w:val="675"/>
    <w:uiPriority w:val="9"/>
    <w:qFormat/>
    <w:rPr>
      <w:rFonts w:ascii="Times New Roman" w:hAnsi="Times New Roman" w:eastAsia="宋体" w:cs="Times New Roman"/>
      <w:b/>
      <w:bCs/>
      <w:sz w:val="36"/>
      <w:szCs w:val="44"/>
    </w:rPr>
  </w:style>
  <w:style w:type="character" w:styleId="874" w:customStyle="1">
    <w:name w:val="正文缩进 Char"/>
    <w:link w:val="687"/>
    <w:uiPriority w:val="0"/>
    <w:qFormat/>
    <w:rPr>
      <w:rFonts w:ascii="Times New Roman" w:hAnsi="Times New Roman" w:eastAsia="宋体" w:cs="Times New Roman"/>
      <w:szCs w:val="24"/>
    </w:rPr>
  </w:style>
  <w:style w:type="paragraph" w:styleId="875" w:customStyle="1">
    <w:name w:val="Table Paragraph"/>
    <w:basedOn w:val="674"/>
    <w:uiPriority w:val="1"/>
    <w:qFormat/>
    <w:pPr>
      <w:spacing w:line="240" w:lineRule="auto"/>
    </w:pPr>
    <w:rPr>
      <w:rFonts w:ascii="宋体" w:hAnsi="宋体" w:cs="宋体"/>
      <w:sz w:val="22"/>
      <w:szCs w:val="22"/>
      <w:lang w:val="zh-CN" w:bidi="zh-CN"/>
    </w:rPr>
  </w:style>
  <w:style w:type="paragraph" w:styleId="876" w:customStyle="1">
    <w:name w:val="纯文本1"/>
    <w:basedOn w:val="674"/>
    <w:uiPriority w:val="99"/>
    <w:qFormat/>
    <w:pPr>
      <w:jc w:val="both"/>
      <w:spacing w:line="240" w:lineRule="auto"/>
    </w:pPr>
    <w:rPr>
      <w:rFonts w:ascii="宋体" w:hAnsi="Courier New"/>
      <w:sz w:val="20"/>
      <w:szCs w:val="21"/>
    </w:rPr>
  </w:style>
  <w:style w:type="character" w:styleId="877" w:customStyle="1">
    <w:name w:val="标题 4 Char"/>
    <w:basedOn w:val="684"/>
    <w:link w:val="678"/>
    <w:uiPriority w:val="9"/>
    <w:semiHidden/>
    <w:qFormat/>
    <w:rPr>
      <w:rFonts w:asciiTheme="majorHAnsi" w:hAnsiTheme="majorHAnsi" w:eastAsiaTheme="majorEastAsia" w:cstheme="majorBidi"/>
      <w:b/>
      <w:bCs/>
      <w:sz w:val="28"/>
      <w:szCs w:val="28"/>
    </w:rPr>
  </w:style>
  <w:style w:type="paragraph" w:styleId="878" w:customStyle="1">
    <w:name w:val="首行缩进"/>
    <w:basedOn w:val="879"/>
    <w:uiPriority w:val="0"/>
    <w:qFormat/>
    <w:pPr>
      <w:ind w:firstLine="480"/>
    </w:pPr>
    <w:rPr>
      <w:rFonts w:ascii="宋体" w:hAnsi="宋体" w:cs="宋体"/>
      <w:szCs w:val="22"/>
      <w:lang w:val="zh-CN" w:bidi="zh-CN"/>
    </w:rPr>
  </w:style>
  <w:style w:type="paragraph" w:styleId="879" w:customStyle="1">
    <w:name w:val="正文1"/>
    <w:next w:val="878"/>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0" w:customStyle="1">
    <w:name w:val="标题 3 Char"/>
    <w:basedOn w:val="684"/>
    <w:link w:val="677"/>
    <w:uiPriority w:val="9"/>
    <w:semiHidden/>
    <w:qFormat/>
    <w:rPr>
      <w:rFonts w:ascii="Times New Roman" w:hAnsi="Times New Roman" w:eastAsia="宋体" w:cs="Times New Roman"/>
      <w:b/>
      <w:bCs/>
      <w:sz w:val="32"/>
      <w:szCs w:val="32"/>
    </w:rPr>
  </w:style>
  <w:style w:type="character" w:styleId="881" w:customStyle="1">
    <w:name w:val="正文文本 Char"/>
    <w:basedOn w:val="684"/>
    <w:link w:val="690"/>
    <w:uiPriority w:val="1"/>
    <w:qFormat/>
    <w:rPr>
      <w:rFonts w:ascii="宋体" w:hAnsi="宋体" w:eastAsia="宋体" w:cs="宋体"/>
      <w:szCs w:val="21"/>
      <w:lang w:val="zh-CN" w:bidi="zh-CN"/>
    </w:rPr>
  </w:style>
  <w:style w:type="paragraph" w:styleId="882" w:customStyle="1">
    <w:name w:val="普通正文"/>
    <w:basedOn w:val="674"/>
    <w:uiPriority w:val="0"/>
    <w:qFormat/>
    <w:pPr>
      <w:ind w:firstLine="480"/>
      <w:spacing w:before="120" w:after="120"/>
    </w:pPr>
    <w:rPr>
      <w:rFonts w:ascii="Arial" w:hAnsi="Arial" w:cs="宋体"/>
      <w:lang w:val="zh-CN" w:bidi="zh-CN"/>
    </w:rPr>
  </w:style>
  <w:style w:type="paragraph" w:styleId="883" w:customStyle="1">
    <w:name w:val="彩色列表1"/>
    <w:basedOn w:val="674"/>
    <w:uiPriority w:val="0"/>
    <w:qFormat/>
    <w:pPr>
      <w:ind w:firstLine="420"/>
      <w:spacing w:line="240" w:lineRule="auto"/>
    </w:pPr>
    <w:rPr>
      <w:rFonts w:ascii="宋体" w:hAnsi="宋体" w:cs="宋体"/>
      <w:sz w:val="22"/>
      <w:lang w:val="zh-CN" w:bidi="zh-CN"/>
    </w:rPr>
  </w:style>
  <w:style w:type="paragraph" w:styleId="884" w:customStyle="1">
    <w:name w:val="ListBullet2"/>
    <w:basedOn w:val="674"/>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5" w:customStyle="1">
    <w:name w:val="标题5 Char Char"/>
    <w:link w:val="886"/>
    <w:uiPriority w:val="0"/>
    <w:qFormat/>
    <w:rPr>
      <w:rFonts w:ascii="Arial" w:hAnsi="Arial"/>
      <w:b/>
      <w:bCs/>
      <w:sz w:val="24"/>
      <w:szCs w:val="32"/>
    </w:rPr>
  </w:style>
  <w:style w:type="paragraph" w:styleId="886" w:customStyle="1">
    <w:name w:val="标题5"/>
    <w:basedOn w:val="677"/>
    <w:link w:val="885"/>
    <w:uiPriority w:val="0"/>
    <w:qFormat/>
    <w:pPr>
      <w:jc w:val="both"/>
      <w:spacing w:line="413" w:lineRule="auto"/>
    </w:pPr>
    <w:rPr>
      <w:rFonts w:ascii="Arial" w:hAnsi="Arial" w:eastAsiaTheme="minorEastAsia" w:cstheme="minorBidi"/>
      <w:sz w:val="24"/>
    </w:rPr>
  </w:style>
  <w:style w:type="character" w:styleId="887" w:customStyle="1">
    <w:name w:val="15"/>
    <w:basedOn w:val="684"/>
    <w:uiPriority w:val="0"/>
    <w:qFormat/>
  </w:style>
  <w:style w:type="table" w:styleId="888" w:customStyle="1">
    <w:name w:val="Table Normal"/>
    <w:uiPriority w:val="0"/>
    <w:semiHidden/>
    <w:unhideWhenUsed/>
    <w:qFormat/>
    <w:tblPr>
      <w:tblCellMar>
        <w:left w:w="0" w:type="dxa"/>
        <w:top w:w="0" w:type="dxa"/>
        <w:right w:w="0" w:type="dxa"/>
        <w:bottom w:w="0" w:type="dxa"/>
      </w:tblCellMar>
    </w:tblPr>
  </w:style>
  <w:style w:type="character" w:styleId="889" w:customStyle="1">
    <w:name w:val="批注框文本 Char"/>
    <w:basedOn w:val="684"/>
    <w:link w:val="700"/>
    <w:uiPriority w:val="99"/>
    <w:semiHidden/>
    <w:qFormat/>
    <w:rPr>
      <w:rFonts w:ascii="Times New Roman" w:hAnsi="Times New Roman" w:eastAsia="宋体" w:cs="Times New Roman"/>
      <w:sz w:val="18"/>
      <w:szCs w:val="18"/>
    </w:rPr>
  </w:style>
  <w:style w:type="character" w:styleId="890" w:customStyle="1">
    <w:name w:val="批注文字 Char"/>
    <w:basedOn w:val="684"/>
    <w:link w:val="689"/>
    <w:uiPriority w:val="99"/>
    <w:semiHidden/>
    <w:qFormat/>
    <w:rPr>
      <w:rFonts w:ascii="Times New Roman" w:hAnsi="Times New Roman" w:eastAsia="宋体" w:cs="Times New Roman"/>
      <w:sz w:val="24"/>
      <w:szCs w:val="24"/>
    </w:rPr>
  </w:style>
  <w:style w:type="paragraph" w:styleId="891" w:customStyle="1">
    <w:name w:val="标题 31"/>
    <w:basedOn w:val="674"/>
    <w:next w:val="89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2" w:customStyle="1">
    <w:name w:val="正文缩进1"/>
    <w:basedOn w:val="674"/>
    <w:uiPriority w:val="99"/>
    <w:qFormat/>
    <w:pPr>
      <w:ind w:firstLine="420"/>
    </w:pPr>
    <w:rPr>
      <w:b/>
      <w:sz w:val="24"/>
    </w:rPr>
  </w:style>
  <w:style w:type="character" w:styleId="893" w:customStyle="1">
    <w:name w:val="要点1"/>
    <w:uiPriority w:val="0"/>
    <w:qFormat/>
    <w:rPr>
      <w:sz w:val="22"/>
      <w:szCs w:val="22"/>
      <w:lang w:val="en-US" w:eastAsia="en-US" w:bidi="en-US"/>
    </w:rPr>
  </w:style>
  <w:style w:type="paragraph" w:styleId="894" w:customStyle="1">
    <w:name w:val="正文首行缩进1"/>
    <w:basedOn w:val="895"/>
    <w:uiPriority w:val="0"/>
    <w:qFormat/>
    <w:pPr>
      <w:ind w:firstLine="420"/>
      <w:spacing w:line="360" w:lineRule="auto"/>
    </w:pPr>
    <w:rPr>
      <w:rFonts w:ascii="Times New Roman" w:hAnsi="Times New Roman" w:cs="Times New Roman"/>
      <w:szCs w:val="21"/>
    </w:rPr>
  </w:style>
  <w:style w:type="paragraph" w:styleId="895" w:customStyle="1">
    <w:name w:val="正文文本1"/>
    <w:basedOn w:val="674"/>
    <w:uiPriority w:val="0"/>
    <w:qFormat/>
    <w:rPr>
      <w:rFonts w:ascii="宋体"/>
      <w:sz w:val="28"/>
    </w:rPr>
  </w:style>
  <w:style w:type="paragraph" w:styleId="896" w:customStyle="1">
    <w:name w:val="1"/>
    <w:basedOn w:val="674"/>
    <w:next w:val="674"/>
    <w:uiPriority w:val="0"/>
    <w:qFormat/>
    <w:rPr>
      <w:szCs w:val="20"/>
    </w:rPr>
  </w:style>
  <w:style w:type="paragraph" w:styleId="897" w:customStyle="1">
    <w:name w:val="标题 311"/>
    <w:basedOn w:val="674"/>
    <w:next w:val="674"/>
    <w:uiPriority w:val="0"/>
    <w:qFormat/>
    <w:pPr>
      <w:keepLines/>
      <w:keepNext/>
      <w:spacing w:before="260" w:after="260" w:line="416" w:lineRule="auto"/>
      <w:outlineLvl w:val="2"/>
    </w:pPr>
    <w:rPr>
      <w:b/>
      <w:sz w:val="32"/>
      <w:szCs w:val="20"/>
    </w:rPr>
  </w:style>
  <w:style w:type="paragraph" w:styleId="898" w:customStyle="1">
    <w:name w:val="List Paragraph1"/>
    <w:basedOn w:val="674"/>
    <w:uiPriority w:val="34"/>
    <w:qFormat/>
    <w:pPr>
      <w:contextualSpacing/>
      <w:ind w:left="720"/>
    </w:pPr>
  </w:style>
  <w:style w:type="character" w:styleId="899" w:customStyle="1">
    <w:name w:val="bot_zi"/>
    <w:basedOn w:val="684"/>
    <w:uiPriority w:val="0"/>
    <w:qFormat/>
  </w:style>
  <w:style w:type="paragraph" w:styleId="900" w:customStyle="1">
    <w:name w:val="列表段落1"/>
    <w:basedOn w:val="674"/>
    <w:uiPriority w:val="34"/>
    <w:qFormat/>
    <w:pPr>
      <w:ind w:firstLine="420"/>
    </w:pPr>
  </w:style>
  <w:style w:type="paragraph" w:styleId="901" w:customStyle="1">
    <w:name w:val="普通(网站)1"/>
    <w:basedOn w:val="674"/>
    <w:uiPriority w:val="99"/>
    <w:qFormat/>
    <w:pPr>
      <w:jc w:val="left"/>
      <w:spacing w:before="100" w:beforeAutospacing="1" w:after="100" w:afterAutospacing="1"/>
      <w:widowControl/>
    </w:pPr>
    <w:rPr>
      <w:sz w:val="24"/>
    </w:rPr>
  </w:style>
  <w:style w:type="paragraph" w:styleId="902" w:customStyle="1">
    <w:name w:val="null3"/>
    <w:hidden/>
    <w:uiPriority w:val="0"/>
    <w:qFormat/>
    <w:rPr>
      <w:rFonts w:hint="eastAsia" w:asciiTheme="minorHAnsi" w:hAnsiTheme="minorHAnsi" w:eastAsiaTheme="minorEastAsia" w:cstheme="minorBidi"/>
      <w:lang w:val="en-US" w:eastAsia="zh-Hans"/>
    </w:rPr>
  </w:style>
  <w:style w:type="paragraph" w:styleId="903" w:customStyle="1">
    <w:name w:val="标题1"/>
    <w:basedOn w:val="674"/>
    <w:next w:val="674"/>
    <w:uiPriority w:val="10"/>
    <w:qFormat/>
    <w:pPr>
      <w:contextualSpacing/>
      <w:spacing w:after="300" w:line="240" w:lineRule="auto"/>
    </w:pPr>
    <w:rPr>
      <w:smallCaps/>
      <w:sz w:val="52"/>
      <w:szCs w:val="52"/>
      <w:lang w:bidi="ar-SA"/>
    </w:rPr>
  </w:style>
  <w:style w:type="paragraph" w:styleId="904" w:customStyle="1">
    <w:name w:val="正文缩进11"/>
    <w:basedOn w:val="674"/>
    <w:next w:val="674"/>
    <w:uiPriority w:val="99"/>
    <w:qFormat/>
    <w:pPr>
      <w:ind w:firstLine="420"/>
    </w:pPr>
    <w:rPr>
      <w:szCs w:val="20"/>
    </w:rPr>
  </w:style>
  <w:style w:type="paragraph" w:styleId="905" w:customStyle="1">
    <w:name w:val="标题 41"/>
    <w:basedOn w:val="674"/>
    <w:next w:val="674"/>
    <w:uiPriority w:val="9"/>
    <w:qFormat/>
    <w:pPr>
      <w:spacing w:after="0" w:line="271" w:lineRule="auto"/>
      <w:outlineLvl w:val="3"/>
    </w:pPr>
    <w:rPr>
      <w:b/>
      <w:bCs/>
      <w:spacing w:val="5"/>
      <w:sz w:val="24"/>
      <w:szCs w:val="24"/>
      <w:lang w:bidi="ar-SA"/>
    </w:rPr>
  </w:style>
  <w:style w:type="paragraph" w:styleId="906" w:customStyle="1">
    <w:name w:val="索引 41"/>
    <w:basedOn w:val="674"/>
    <w:next w:val="674"/>
    <w:uiPriority w:val="0"/>
    <w:qFormat/>
    <w:pPr>
      <w:ind w:left="600"/>
    </w:p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27</cp:revision>
  <dcterms:created xsi:type="dcterms:W3CDTF">2023-09-21T04:43:00Z</dcterms:created>
  <dcterms:modified xsi:type="dcterms:W3CDTF">2026-07-29T07:14:19Z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5BE720A7D3264A2B8492988D7E9B8DF4_13</vt:lpwstr>
  </property>
  <property fmtid="{D5CDD505-2E9C-101B-9397-08002B2CF9AE}" pid="4" name="KSOTemplateDocerSaveRecord">
    <vt:lpwstr>eyJoZGlkIjoiNTZmNzYxM2Q0ZWY3NjUyZWMxMDk3MWRiOWNkZjgyNTIiLCJ1c2VySWQiOiIzNTYwMDE3MjEifQ==</vt:lpwstr>
  </property>
</Properties>
</file>